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49499F">
      <w:pPr>
        <w:adjustRightInd w:val="0"/>
        <w:snapToGrid w:val="0"/>
        <w:spacing w:after="0" w:line="560" w:lineRule="exact"/>
        <w:ind w:left="0" w:firstLine="0"/>
        <w:jc w:val="center"/>
        <w:rPr>
          <w:rFonts w:ascii="方正小标宋简体" w:eastAsia="方正小标宋简体"/>
          <w:b/>
          <w:sz w:val="44"/>
          <w:szCs w:val="44"/>
        </w:rPr>
      </w:pPr>
      <w:r>
        <w:rPr>
          <w:rFonts w:hint="eastAsia" w:ascii="方正小标宋简体" w:eastAsia="方正小标宋简体"/>
          <w:b/>
          <w:sz w:val="44"/>
          <w:szCs w:val="44"/>
        </w:rPr>
        <w:t>中国水产科学研究院黄海水产研究所202</w:t>
      </w:r>
      <w:r>
        <w:rPr>
          <w:rFonts w:ascii="方正小标宋简体" w:eastAsia="方正小标宋简体"/>
          <w:b/>
          <w:sz w:val="44"/>
          <w:szCs w:val="44"/>
        </w:rPr>
        <w:t>5</w:t>
      </w:r>
      <w:r>
        <w:rPr>
          <w:rFonts w:hint="eastAsia" w:ascii="方正小标宋简体" w:eastAsia="方正小标宋简体"/>
          <w:b/>
          <w:sz w:val="44"/>
          <w:szCs w:val="44"/>
        </w:rPr>
        <w:t>年公开招聘工作人员公告</w:t>
      </w:r>
    </w:p>
    <w:p w14:paraId="75ABD35A">
      <w:pPr>
        <w:adjustRightInd w:val="0"/>
        <w:snapToGrid w:val="0"/>
        <w:spacing w:after="156" w:afterLines="50" w:line="560" w:lineRule="exact"/>
        <w:ind w:left="0" w:firstLine="0"/>
        <w:jc w:val="center"/>
        <w:rPr>
          <w:rFonts w:ascii="方正小标宋简体" w:eastAsia="方正小标宋简体"/>
          <w:b/>
          <w:sz w:val="10"/>
          <w:szCs w:val="10"/>
        </w:rPr>
      </w:pPr>
      <w:r>
        <w:rPr>
          <w:rFonts w:hint="eastAsia" w:ascii="方正小标宋简体" w:eastAsia="方正小标宋简体"/>
          <w:szCs w:val="32"/>
        </w:rPr>
        <w:t>（2</w:t>
      </w:r>
      <w:r>
        <w:rPr>
          <w:rFonts w:ascii="方正小标宋简体" w:eastAsia="方正小标宋简体"/>
          <w:szCs w:val="32"/>
        </w:rPr>
        <w:t>024</w:t>
      </w:r>
      <w:r>
        <w:rPr>
          <w:rFonts w:hint="eastAsia" w:ascii="方正小标宋简体" w:eastAsia="方正小标宋简体"/>
          <w:szCs w:val="32"/>
        </w:rPr>
        <w:t>年12月）</w:t>
      </w:r>
    </w:p>
    <w:p w14:paraId="36EA36BB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中国</w:t>
      </w:r>
      <w:r>
        <w:rPr>
          <w:szCs w:val="32"/>
        </w:rPr>
        <w:t>水产科学研究院</w:t>
      </w:r>
      <w:r>
        <w:rPr>
          <w:rFonts w:hint="eastAsia"/>
          <w:szCs w:val="32"/>
        </w:rPr>
        <w:t>黄海水产研究所（所网站www.ysfri.ac.cn）是国家综合性海洋渔业研究机构，前身为</w:t>
      </w:r>
      <w:r>
        <w:rPr>
          <w:szCs w:val="32"/>
        </w:rPr>
        <w:t>成立于</w:t>
      </w:r>
      <w:r>
        <w:rPr>
          <w:rFonts w:hint="eastAsia"/>
          <w:szCs w:val="32"/>
        </w:rPr>
        <w:t>1947年的“农林部中央水产实验所”。主要职责包括海洋渔业资源评估与养护研究、海洋渔业环境评价与生态修复研究、海洋生物遗传资源与养殖新品种培育研究、海水养殖、设施渔业与防疫技术研究、水产品加工与质量安全研究、渔业信息与发展战略研究，</w:t>
      </w:r>
      <w:r>
        <w:rPr>
          <w:szCs w:val="32"/>
        </w:rPr>
        <w:t>开展</w:t>
      </w:r>
      <w:r>
        <w:rPr>
          <w:rFonts w:hint="eastAsia"/>
          <w:szCs w:val="32"/>
        </w:rPr>
        <w:t>渔业科技成果转化与技术服务、国际合作与培训、渔业科技期刊出版等</w:t>
      </w:r>
      <w:r>
        <w:rPr>
          <w:szCs w:val="32"/>
        </w:rPr>
        <w:t>。</w:t>
      </w:r>
      <w:r>
        <w:rPr>
          <w:rFonts w:hint="eastAsia"/>
          <w:szCs w:val="32"/>
        </w:rPr>
        <w:t>现有包括</w:t>
      </w:r>
      <w:r>
        <w:rPr>
          <w:szCs w:val="32"/>
        </w:rPr>
        <w:t>全国重点实验室在内的</w:t>
      </w:r>
      <w:r>
        <w:rPr>
          <w:rFonts w:hint="eastAsia"/>
          <w:szCs w:val="32"/>
        </w:rPr>
        <w:t>国家级</w:t>
      </w:r>
      <w:r>
        <w:rPr>
          <w:szCs w:val="32"/>
        </w:rPr>
        <w:t>科研创新平台</w:t>
      </w:r>
      <w:r>
        <w:rPr>
          <w:rFonts w:hint="eastAsia"/>
          <w:szCs w:val="32"/>
        </w:rPr>
        <w:t>9个</w:t>
      </w:r>
      <w:r>
        <w:rPr>
          <w:szCs w:val="32"/>
        </w:rPr>
        <w:t>，</w:t>
      </w:r>
      <w:r>
        <w:rPr>
          <w:rFonts w:hint="eastAsia"/>
          <w:szCs w:val="32"/>
        </w:rPr>
        <w:t>省部级科研</w:t>
      </w:r>
      <w:r>
        <w:rPr>
          <w:szCs w:val="32"/>
        </w:rPr>
        <w:t>创新平台</w:t>
      </w:r>
      <w:r>
        <w:rPr>
          <w:rFonts w:hint="eastAsia"/>
          <w:szCs w:val="32"/>
        </w:rPr>
        <w:t>17个</w:t>
      </w:r>
      <w:r>
        <w:rPr>
          <w:szCs w:val="32"/>
        </w:rPr>
        <w:t>，国际</w:t>
      </w:r>
      <w:r>
        <w:rPr>
          <w:rFonts w:hint="eastAsia"/>
          <w:szCs w:val="32"/>
        </w:rPr>
        <w:t>科研</w:t>
      </w:r>
      <w:r>
        <w:rPr>
          <w:szCs w:val="32"/>
        </w:rPr>
        <w:t>平台</w:t>
      </w:r>
      <w:r>
        <w:rPr>
          <w:rFonts w:hint="eastAsia"/>
          <w:szCs w:val="32"/>
        </w:rPr>
        <w:t>3个；拥有目前国内设施设备最先进、吨位最大海洋渔业综合科学调查船“蓝海</w:t>
      </w:r>
      <w:r>
        <w:rPr>
          <w:szCs w:val="32"/>
        </w:rPr>
        <w:t>101”号（3000吨级），1000吨级海洋渔业资源与环境调查船“北斗”号、300吨级渔业资源与环境调查船“中渔科102”号和100吨级渔业资源与环境调查船“中渔科101”号等四艘渔业科考船</w:t>
      </w:r>
      <w:r>
        <w:rPr>
          <w:rFonts w:hint="eastAsia"/>
          <w:szCs w:val="32"/>
        </w:rPr>
        <w:t>；建有海洋渔业科学研究中心（琅琊基地）、水产遗传育种中心（即墨基地）、鲆鲽鱼类遗传育种中心（海阳基地）和水生动物防疫技术研发中心（鳌山基地）等四个科研基地。</w:t>
      </w:r>
      <w:r>
        <w:rPr>
          <w:szCs w:val="32"/>
        </w:rPr>
        <w:t>具体详见</w:t>
      </w:r>
      <w:r>
        <w:rPr>
          <w:rFonts w:hint="eastAsia"/>
          <w:szCs w:val="32"/>
        </w:rPr>
        <w:t>黄海水产</w:t>
      </w:r>
      <w:r>
        <w:rPr>
          <w:szCs w:val="32"/>
        </w:rPr>
        <w:t>研究所简介（附件</w:t>
      </w:r>
      <w:r>
        <w:rPr>
          <w:rFonts w:hint="eastAsia"/>
          <w:szCs w:val="32"/>
        </w:rPr>
        <w:t>1）。</w:t>
      </w:r>
    </w:p>
    <w:p w14:paraId="7D486878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根据事业发展和人才队伍建设的需要，中国水产科学研究院黄海水产研究所</w:t>
      </w:r>
      <w:r>
        <w:rPr>
          <w:szCs w:val="32"/>
        </w:rPr>
        <w:t>2025年</w:t>
      </w:r>
      <w:r>
        <w:rPr>
          <w:rFonts w:hint="eastAsia"/>
          <w:szCs w:val="32"/>
        </w:rPr>
        <w:t>面</w:t>
      </w:r>
      <w:r>
        <w:rPr>
          <w:szCs w:val="32"/>
        </w:rPr>
        <w:t>向社会公开招聘</w:t>
      </w:r>
      <w:r>
        <w:rPr>
          <w:rFonts w:hint="eastAsia"/>
          <w:szCs w:val="32"/>
        </w:rPr>
        <w:t>事业编制</w:t>
      </w:r>
      <w:r>
        <w:rPr>
          <w:szCs w:val="32"/>
        </w:rPr>
        <w:t>工作人员</w:t>
      </w:r>
      <w:r>
        <w:rPr>
          <w:rFonts w:hint="eastAsia"/>
          <w:szCs w:val="32"/>
        </w:rPr>
        <w:t>，现将有关招聘事宜公告如下。</w:t>
      </w:r>
    </w:p>
    <w:p w14:paraId="31224F25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rFonts w:ascii="黑体" w:hAnsi="黑体" w:eastAsia="黑体"/>
          <w:szCs w:val="32"/>
        </w:rPr>
      </w:pPr>
      <w:r>
        <w:rPr>
          <w:rFonts w:hint="eastAsia" w:ascii="黑体" w:hAnsi="黑体" w:eastAsia="黑体" w:cs="黑体"/>
          <w:szCs w:val="32"/>
        </w:rPr>
        <w:t xml:space="preserve">一、招聘条件 </w:t>
      </w:r>
    </w:p>
    <w:p w14:paraId="37840BFE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rFonts w:hint="eastAsia"/>
          <w:szCs w:val="32"/>
        </w:rPr>
      </w:pPr>
      <w:r>
        <w:rPr>
          <w:rFonts w:hint="eastAsia"/>
          <w:szCs w:val="32"/>
        </w:rPr>
        <w:t>（一</w:t>
      </w:r>
      <w:r>
        <w:rPr>
          <w:szCs w:val="32"/>
        </w:rPr>
        <w:t>）</w:t>
      </w:r>
      <w:r>
        <w:rPr>
          <w:rFonts w:hint="eastAsia"/>
          <w:szCs w:val="32"/>
        </w:rPr>
        <w:t>具有</w:t>
      </w:r>
      <w:r>
        <w:rPr>
          <w:szCs w:val="32"/>
        </w:rPr>
        <w:t>中华人民共和国国籍。</w:t>
      </w:r>
    </w:p>
    <w:p w14:paraId="79CA41DA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（二</w:t>
      </w:r>
      <w:r>
        <w:rPr>
          <w:szCs w:val="32"/>
        </w:rPr>
        <w:t>）</w:t>
      </w:r>
      <w:r>
        <w:rPr>
          <w:rFonts w:hint="eastAsia"/>
          <w:szCs w:val="32"/>
        </w:rPr>
        <w:t>遵纪守法，品行端正，身体健康，具有良好的协作精神。</w:t>
      </w:r>
    </w:p>
    <w:p w14:paraId="6B55917E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（三</w:t>
      </w:r>
      <w:r>
        <w:rPr>
          <w:szCs w:val="32"/>
        </w:rPr>
        <w:t>）</w:t>
      </w:r>
      <w:r>
        <w:rPr>
          <w:rFonts w:hint="eastAsia"/>
          <w:szCs w:val="32"/>
        </w:rPr>
        <w:t>具有扎实的专业基础理论知识，较好的学习掌握新知识、新技能的能力。</w:t>
      </w:r>
    </w:p>
    <w:p w14:paraId="0E4223DA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（四</w:t>
      </w:r>
      <w:r>
        <w:rPr>
          <w:szCs w:val="32"/>
        </w:rPr>
        <w:t>）</w:t>
      </w:r>
      <w:r>
        <w:rPr>
          <w:rFonts w:hint="eastAsia"/>
          <w:szCs w:val="32"/>
        </w:rPr>
        <w:t>工作积极，责任心强，具有良好的开拓创新精神。</w:t>
      </w:r>
    </w:p>
    <w:p w14:paraId="4D79AB80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（五</w:t>
      </w:r>
      <w:r>
        <w:rPr>
          <w:szCs w:val="32"/>
        </w:rPr>
        <w:t>）</w:t>
      </w:r>
      <w:r>
        <w:rPr>
          <w:rFonts w:hint="eastAsia"/>
          <w:szCs w:val="32"/>
        </w:rPr>
        <w:t>具备招聘岗位所要求的其他条件。</w:t>
      </w:r>
    </w:p>
    <w:p w14:paraId="58FCBC58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rFonts w:ascii="黑体" w:hAnsi="黑体" w:eastAsia="黑体" w:cs="黑体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Cs w:val="32"/>
        </w:rPr>
        <w:t>二、招聘岗位</w:t>
      </w:r>
    </w:p>
    <w:p w14:paraId="0A26E451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color w:val="auto"/>
          <w:szCs w:val="32"/>
        </w:rPr>
      </w:pPr>
      <w:r>
        <w:rPr>
          <w:rFonts w:hint="eastAsia"/>
          <w:color w:val="auto"/>
          <w:szCs w:val="32"/>
        </w:rPr>
        <w:t>《中国水产科学研究院黄海水产研究所202</w:t>
      </w:r>
      <w:r>
        <w:rPr>
          <w:color w:val="auto"/>
          <w:szCs w:val="32"/>
        </w:rPr>
        <w:t>5</w:t>
      </w:r>
      <w:r>
        <w:rPr>
          <w:rFonts w:hint="eastAsia"/>
          <w:color w:val="auto"/>
          <w:szCs w:val="32"/>
        </w:rPr>
        <w:t>年公开招聘岗位信息一览表》（附件2）。在科研岗位分别设置中国</w:t>
      </w:r>
      <w:r>
        <w:rPr>
          <w:color w:val="auto"/>
          <w:szCs w:val="32"/>
        </w:rPr>
        <w:t>水产科学研究院</w:t>
      </w:r>
      <w:r>
        <w:rPr>
          <w:rFonts w:hint="eastAsia"/>
          <w:color w:val="auto"/>
          <w:szCs w:val="32"/>
        </w:rPr>
        <w:t>“优博</w:t>
      </w:r>
      <w:r>
        <w:rPr>
          <w:color w:val="auto"/>
          <w:szCs w:val="32"/>
        </w:rPr>
        <w:t>人才”</w:t>
      </w:r>
      <w:r>
        <w:rPr>
          <w:rFonts w:hint="eastAsia"/>
          <w:color w:val="auto"/>
          <w:szCs w:val="32"/>
        </w:rPr>
        <w:t>（简称</w:t>
      </w:r>
      <w:r>
        <w:rPr>
          <w:color w:val="auto"/>
          <w:szCs w:val="32"/>
        </w:rPr>
        <w:t>“</w:t>
      </w:r>
      <w:r>
        <w:rPr>
          <w:rFonts w:hint="eastAsia"/>
          <w:color w:val="auto"/>
          <w:szCs w:val="32"/>
        </w:rPr>
        <w:t>院</w:t>
      </w:r>
      <w:r>
        <w:rPr>
          <w:color w:val="auto"/>
          <w:szCs w:val="32"/>
        </w:rPr>
        <w:t>优博人才”）</w:t>
      </w:r>
      <w:r>
        <w:rPr>
          <w:rFonts w:hint="eastAsia"/>
          <w:color w:val="auto"/>
          <w:szCs w:val="32"/>
        </w:rPr>
        <w:t>、黄海</w:t>
      </w:r>
      <w:r>
        <w:rPr>
          <w:color w:val="auto"/>
          <w:szCs w:val="32"/>
        </w:rPr>
        <w:t>水产研究所</w:t>
      </w:r>
      <w:r>
        <w:rPr>
          <w:rFonts w:hint="eastAsia"/>
          <w:color w:val="auto"/>
          <w:szCs w:val="32"/>
        </w:rPr>
        <w:t>“优博人才”（简称“</w:t>
      </w:r>
      <w:r>
        <w:rPr>
          <w:color w:val="auto"/>
          <w:szCs w:val="32"/>
        </w:rPr>
        <w:t>所优博人才</w:t>
      </w:r>
      <w:r>
        <w:rPr>
          <w:rFonts w:hint="eastAsia"/>
          <w:color w:val="auto"/>
          <w:szCs w:val="32"/>
        </w:rPr>
        <w:t>”</w:t>
      </w:r>
      <w:r>
        <w:rPr>
          <w:color w:val="auto"/>
          <w:szCs w:val="32"/>
        </w:rPr>
        <w:t>）</w:t>
      </w:r>
      <w:r>
        <w:rPr>
          <w:rFonts w:hint="eastAsia"/>
          <w:color w:val="auto"/>
          <w:szCs w:val="32"/>
        </w:rPr>
        <w:t>，详见岗位备注。</w:t>
      </w:r>
    </w:p>
    <w:p w14:paraId="34D0B2A6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三、相关待遇和优惠条件</w:t>
      </w:r>
    </w:p>
    <w:p w14:paraId="28653134">
      <w:pPr>
        <w:adjustRightInd w:val="0"/>
        <w:snapToGrid w:val="0"/>
        <w:spacing w:after="0" w:line="560" w:lineRule="exact"/>
        <w:ind w:left="0" w:firstLine="643" w:firstLineChars="200"/>
        <w:jc w:val="both"/>
        <w:rPr>
          <w:rFonts w:ascii="楷体" w:hAnsi="楷体" w:eastAsia="楷体"/>
          <w:b/>
          <w:szCs w:val="32"/>
        </w:rPr>
      </w:pPr>
      <w:r>
        <w:rPr>
          <w:rFonts w:hint="eastAsia" w:ascii="楷体" w:hAnsi="楷体" w:eastAsia="楷体"/>
          <w:b/>
          <w:szCs w:val="32"/>
        </w:rPr>
        <w:t>（一</w:t>
      </w:r>
      <w:r>
        <w:rPr>
          <w:rFonts w:ascii="楷体" w:hAnsi="楷体" w:eastAsia="楷体"/>
          <w:b/>
          <w:szCs w:val="32"/>
        </w:rPr>
        <w:t>）</w:t>
      </w:r>
      <w:r>
        <w:rPr>
          <w:rFonts w:hint="eastAsia" w:ascii="楷体" w:hAnsi="楷体" w:eastAsia="楷体"/>
          <w:b/>
          <w:szCs w:val="32"/>
        </w:rPr>
        <w:t>人才</w:t>
      </w:r>
      <w:r>
        <w:rPr>
          <w:rFonts w:ascii="楷体" w:hAnsi="楷体" w:eastAsia="楷体"/>
          <w:b/>
          <w:szCs w:val="32"/>
        </w:rPr>
        <w:t>待遇</w:t>
      </w:r>
    </w:p>
    <w:p w14:paraId="0FA80FB4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color w:val="auto"/>
          <w:szCs w:val="32"/>
        </w:rPr>
      </w:pPr>
      <w:r>
        <w:rPr>
          <w:szCs w:val="32"/>
        </w:rPr>
        <w:t>1.</w:t>
      </w:r>
      <w:r>
        <w:rPr>
          <w:rFonts w:hint="eastAsia"/>
          <w:b/>
          <w:szCs w:val="32"/>
        </w:rPr>
        <w:t>“院优博人才”</w:t>
      </w:r>
      <w:r>
        <w:rPr>
          <w:rFonts w:hint="eastAsia"/>
          <w:szCs w:val="32"/>
        </w:rPr>
        <w:t>，聘期5年</w:t>
      </w:r>
      <w:r>
        <w:rPr>
          <w:szCs w:val="32"/>
        </w:rPr>
        <w:t>，聘用副研究员三级岗位</w:t>
      </w:r>
      <w:r>
        <w:rPr>
          <w:rFonts w:hint="eastAsia"/>
          <w:szCs w:val="32"/>
        </w:rPr>
        <w:t>（七级</w:t>
      </w:r>
      <w:r>
        <w:rPr>
          <w:szCs w:val="32"/>
        </w:rPr>
        <w:t>），享受相应工资待遇</w:t>
      </w:r>
      <w:r>
        <w:rPr>
          <w:rFonts w:hint="eastAsia"/>
          <w:szCs w:val="32"/>
        </w:rPr>
        <w:t>，单位</w:t>
      </w:r>
      <w:r>
        <w:rPr>
          <w:szCs w:val="32"/>
        </w:rPr>
        <w:t>提供科研基金40万元</w:t>
      </w:r>
      <w:r>
        <w:rPr>
          <w:rFonts w:hint="eastAsia"/>
          <w:szCs w:val="32"/>
        </w:rPr>
        <w:t>；聘期考核合格后，聘用副研究员二级岗位（六级）并纳入单位职称、岗位正常序列管理，副研究员资格自首聘时间认定</w:t>
      </w:r>
      <w:r>
        <w:rPr>
          <w:rFonts w:hint="eastAsia"/>
          <w:color w:val="auto"/>
          <w:szCs w:val="32"/>
        </w:rPr>
        <w:t>。具体聘用条件及待遇详见</w:t>
      </w:r>
      <w:r>
        <w:rPr>
          <w:color w:val="auto"/>
          <w:szCs w:val="32"/>
        </w:rPr>
        <w:t>附件</w:t>
      </w:r>
      <w:r>
        <w:rPr>
          <w:rFonts w:hint="eastAsia"/>
          <w:color w:val="auto"/>
          <w:szCs w:val="32"/>
        </w:rPr>
        <w:t>3。</w:t>
      </w:r>
    </w:p>
    <w:p w14:paraId="67B2CFB8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color w:val="auto"/>
          <w:szCs w:val="32"/>
        </w:rPr>
      </w:pPr>
      <w:r>
        <w:rPr>
          <w:color w:val="auto"/>
          <w:szCs w:val="32"/>
        </w:rPr>
        <w:t>2.</w:t>
      </w:r>
      <w:r>
        <w:rPr>
          <w:b/>
          <w:color w:val="auto"/>
          <w:szCs w:val="32"/>
        </w:rPr>
        <w:t>“</w:t>
      </w:r>
      <w:r>
        <w:rPr>
          <w:rFonts w:hint="eastAsia"/>
          <w:b/>
          <w:color w:val="auto"/>
          <w:szCs w:val="32"/>
        </w:rPr>
        <w:t>所优博</w:t>
      </w:r>
      <w:r>
        <w:rPr>
          <w:b/>
          <w:color w:val="auto"/>
          <w:szCs w:val="32"/>
        </w:rPr>
        <w:t>人才”</w:t>
      </w:r>
      <w:r>
        <w:rPr>
          <w:rFonts w:hint="eastAsia"/>
          <w:color w:val="auto"/>
          <w:szCs w:val="32"/>
        </w:rPr>
        <w:t>，聘期3年</w:t>
      </w:r>
      <w:r>
        <w:rPr>
          <w:color w:val="auto"/>
          <w:szCs w:val="32"/>
        </w:rPr>
        <w:t>，享受3-6万元/年的岗位补助，其中交叉新兴学科（如大数据与人工智能以及声、光、电等专业）岗位补助可放宽至10万元/年</w:t>
      </w:r>
      <w:r>
        <w:rPr>
          <w:rFonts w:hint="eastAsia"/>
          <w:color w:val="auto"/>
          <w:szCs w:val="32"/>
        </w:rPr>
        <w:t>。具体聘用条件及待遇详见</w:t>
      </w:r>
      <w:r>
        <w:rPr>
          <w:color w:val="auto"/>
          <w:szCs w:val="32"/>
        </w:rPr>
        <w:t>附件</w:t>
      </w:r>
      <w:r>
        <w:rPr>
          <w:rFonts w:hint="eastAsia"/>
          <w:color w:val="auto"/>
          <w:szCs w:val="32"/>
        </w:rPr>
        <w:t>3。</w:t>
      </w:r>
    </w:p>
    <w:p w14:paraId="7D32D6CC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szCs w:val="32"/>
        </w:rPr>
        <w:t>3.</w:t>
      </w:r>
      <w:r>
        <w:rPr>
          <w:rFonts w:hint="eastAsia"/>
          <w:szCs w:val="32"/>
        </w:rPr>
        <w:t>符合</w:t>
      </w:r>
      <w:r>
        <w:rPr>
          <w:szCs w:val="32"/>
        </w:rPr>
        <w:t>条件的博士毕业生，可选择先进入所博士后科研工作站从事研究工作，年薪不低于18万元（含青岛市博士后生活资助），出站后直接留所，可享受聚青资助25万元</w:t>
      </w:r>
      <w:r>
        <w:rPr>
          <w:rFonts w:hint="eastAsia"/>
          <w:szCs w:val="32"/>
        </w:rPr>
        <w:t>。</w:t>
      </w:r>
    </w:p>
    <w:p w14:paraId="059454F4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color w:val="auto"/>
          <w:szCs w:val="32"/>
        </w:rPr>
      </w:pPr>
      <w:r>
        <w:rPr>
          <w:rFonts w:hint="eastAsia"/>
          <w:color w:val="auto"/>
          <w:szCs w:val="32"/>
        </w:rPr>
        <w:t>4.应届</w:t>
      </w:r>
      <w:r>
        <w:rPr>
          <w:color w:val="auto"/>
          <w:szCs w:val="32"/>
        </w:rPr>
        <w:t>博士毕业生</w:t>
      </w:r>
      <w:r>
        <w:rPr>
          <w:rFonts w:hint="eastAsia"/>
          <w:color w:val="auto"/>
          <w:szCs w:val="32"/>
        </w:rPr>
        <w:t>或出站博士后，录用后可择优推荐</w:t>
      </w:r>
      <w:r>
        <w:rPr>
          <w:color w:val="auto"/>
          <w:szCs w:val="32"/>
        </w:rPr>
        <w:t>申报</w:t>
      </w:r>
      <w:r>
        <w:rPr>
          <w:rFonts w:hint="eastAsia"/>
          <w:color w:val="auto"/>
          <w:szCs w:val="32"/>
        </w:rPr>
        <w:t>山东</w:t>
      </w:r>
      <w:r>
        <w:rPr>
          <w:color w:val="auto"/>
          <w:szCs w:val="32"/>
        </w:rPr>
        <w:t>省</w:t>
      </w:r>
      <w:r>
        <w:rPr>
          <w:rFonts w:hint="eastAsia"/>
          <w:color w:val="auto"/>
          <w:szCs w:val="32"/>
        </w:rPr>
        <w:t>泰山学者</w:t>
      </w:r>
      <w:r>
        <w:rPr>
          <w:color w:val="auto"/>
          <w:szCs w:val="32"/>
        </w:rPr>
        <w:t>青年专家</w:t>
      </w:r>
      <w:r>
        <w:rPr>
          <w:rFonts w:hint="eastAsia"/>
          <w:color w:val="auto"/>
          <w:szCs w:val="32"/>
        </w:rPr>
        <w:t>。符合条件的优秀人才可享受山东省、青岛市人才引进待遇政策。</w:t>
      </w:r>
    </w:p>
    <w:p w14:paraId="480E81FD">
      <w:pPr>
        <w:adjustRightInd w:val="0"/>
        <w:snapToGrid w:val="0"/>
        <w:spacing w:after="0" w:line="560" w:lineRule="exact"/>
        <w:ind w:left="0" w:firstLine="643" w:firstLineChars="200"/>
        <w:jc w:val="both"/>
        <w:rPr>
          <w:rFonts w:ascii="楷体" w:hAnsi="楷体" w:eastAsia="楷体"/>
          <w:b/>
          <w:color w:val="auto"/>
          <w:szCs w:val="32"/>
        </w:rPr>
      </w:pPr>
      <w:r>
        <w:rPr>
          <w:rFonts w:hint="eastAsia" w:ascii="楷体" w:hAnsi="楷体" w:eastAsia="楷体"/>
          <w:b/>
          <w:color w:val="auto"/>
          <w:szCs w:val="32"/>
        </w:rPr>
        <w:t>（二</w:t>
      </w:r>
      <w:r>
        <w:rPr>
          <w:rFonts w:ascii="楷体" w:hAnsi="楷体" w:eastAsia="楷体"/>
          <w:b/>
          <w:color w:val="auto"/>
          <w:szCs w:val="32"/>
        </w:rPr>
        <w:t>）</w:t>
      </w:r>
      <w:r>
        <w:rPr>
          <w:rFonts w:hint="eastAsia" w:ascii="楷体" w:hAnsi="楷体" w:eastAsia="楷体"/>
          <w:b/>
          <w:color w:val="auto"/>
          <w:szCs w:val="32"/>
        </w:rPr>
        <w:t>生活</w:t>
      </w:r>
      <w:r>
        <w:rPr>
          <w:rFonts w:ascii="楷体" w:hAnsi="楷体" w:eastAsia="楷体"/>
          <w:b/>
          <w:color w:val="auto"/>
          <w:szCs w:val="32"/>
        </w:rPr>
        <w:t>补贴</w:t>
      </w:r>
    </w:p>
    <w:p w14:paraId="44E52892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color w:val="auto"/>
          <w:szCs w:val="32"/>
        </w:rPr>
      </w:pPr>
      <w:r>
        <w:rPr>
          <w:rFonts w:hint="eastAsia"/>
          <w:color w:val="auto"/>
          <w:szCs w:val="32"/>
        </w:rPr>
        <w:t>1.单位设有食堂，为</w:t>
      </w:r>
      <w:r>
        <w:rPr>
          <w:color w:val="auto"/>
          <w:szCs w:val="32"/>
        </w:rPr>
        <w:t>职工提供午餐补贴</w:t>
      </w:r>
      <w:r>
        <w:rPr>
          <w:rFonts w:hint="eastAsia"/>
          <w:color w:val="auto"/>
          <w:szCs w:val="32"/>
        </w:rPr>
        <w:t>；为</w:t>
      </w:r>
      <w:r>
        <w:rPr>
          <w:color w:val="auto"/>
          <w:szCs w:val="32"/>
        </w:rPr>
        <w:t>远距离</w:t>
      </w:r>
      <w:r>
        <w:rPr>
          <w:rStyle w:val="21"/>
        </w:rPr>
        <w:t>上下班</w:t>
      </w:r>
      <w:r>
        <w:rPr>
          <w:rStyle w:val="21"/>
          <w:rFonts w:hint="eastAsia"/>
        </w:rPr>
        <w:t>职工</w:t>
      </w:r>
      <w:r>
        <w:rPr>
          <w:rStyle w:val="21"/>
        </w:rPr>
        <w:t>提供交通费补贴</w:t>
      </w:r>
      <w:r>
        <w:rPr>
          <w:rStyle w:val="21"/>
          <w:rFonts w:hint="eastAsia"/>
        </w:rPr>
        <w:t>；</w:t>
      </w:r>
      <w:r>
        <w:rPr>
          <w:rFonts w:hint="eastAsia"/>
          <w:color w:val="auto"/>
          <w:szCs w:val="32"/>
        </w:rPr>
        <w:t>为单身职工提供宿舍，为已婚职工提供5年低租金周转房（市区90平米套二</w:t>
      </w:r>
      <w:r>
        <w:rPr>
          <w:color w:val="auto"/>
          <w:szCs w:val="32"/>
        </w:rPr>
        <w:t>公寓</w:t>
      </w:r>
      <w:r>
        <w:rPr>
          <w:rFonts w:hint="eastAsia"/>
          <w:color w:val="auto"/>
          <w:szCs w:val="32"/>
        </w:rPr>
        <w:t>，前五年租金</w:t>
      </w:r>
      <w:r>
        <w:rPr>
          <w:rFonts w:hint="eastAsia"/>
          <w:bCs/>
          <w:color w:val="auto"/>
          <w:szCs w:val="32"/>
        </w:rPr>
        <w:t>800元/月</w:t>
      </w:r>
      <w:r>
        <w:rPr>
          <w:rFonts w:hint="eastAsia"/>
          <w:color w:val="auto"/>
          <w:szCs w:val="32"/>
        </w:rPr>
        <w:t>，同类房屋出租价格为2500元/月）；协助安排职工子女幼儿园、小学入学。</w:t>
      </w:r>
    </w:p>
    <w:p w14:paraId="505FA1EF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2.符合条件的新职工可按青岛市政策享受36个月住房补贴（博士</w:t>
      </w:r>
      <w:r>
        <w:rPr>
          <w:szCs w:val="32"/>
        </w:rPr>
        <w:t>每月</w:t>
      </w:r>
      <w:r>
        <w:rPr>
          <w:rFonts w:hint="eastAsia"/>
          <w:szCs w:val="32"/>
        </w:rPr>
        <w:t>1200元</w:t>
      </w:r>
      <w:r>
        <w:rPr>
          <w:szCs w:val="32"/>
        </w:rPr>
        <w:t>，硕士每月</w:t>
      </w:r>
      <w:r>
        <w:rPr>
          <w:rFonts w:hint="eastAsia"/>
          <w:szCs w:val="32"/>
        </w:rPr>
        <w:t>800元</w:t>
      </w:r>
      <w:r>
        <w:rPr>
          <w:szCs w:val="32"/>
        </w:rPr>
        <w:t>，本科每月</w:t>
      </w:r>
      <w:r>
        <w:rPr>
          <w:rFonts w:hint="eastAsia"/>
          <w:szCs w:val="32"/>
        </w:rPr>
        <w:t>500元</w:t>
      </w:r>
      <w:r>
        <w:rPr>
          <w:szCs w:val="32"/>
        </w:rPr>
        <w:t>）</w:t>
      </w:r>
      <w:r>
        <w:rPr>
          <w:rFonts w:hint="eastAsia"/>
          <w:szCs w:val="32"/>
        </w:rPr>
        <w:t>;出站博士后来所工作可享受青岛市安家补贴25万元。</w:t>
      </w:r>
    </w:p>
    <w:p w14:paraId="23E3BF33">
      <w:pPr>
        <w:adjustRightInd w:val="0"/>
        <w:snapToGrid w:val="0"/>
        <w:spacing w:after="0" w:line="560" w:lineRule="exact"/>
        <w:ind w:left="0" w:firstLine="643" w:firstLineChars="200"/>
        <w:jc w:val="both"/>
        <w:rPr>
          <w:rFonts w:ascii="楷体" w:hAnsi="楷体" w:eastAsia="楷体"/>
          <w:b/>
          <w:szCs w:val="32"/>
        </w:rPr>
      </w:pPr>
      <w:r>
        <w:rPr>
          <w:rFonts w:hint="eastAsia" w:ascii="楷体" w:hAnsi="楷体" w:eastAsia="楷体"/>
          <w:b/>
          <w:szCs w:val="32"/>
        </w:rPr>
        <w:t>（三</w:t>
      </w:r>
      <w:r>
        <w:rPr>
          <w:rFonts w:ascii="楷体" w:hAnsi="楷体" w:eastAsia="楷体"/>
          <w:b/>
          <w:szCs w:val="32"/>
        </w:rPr>
        <w:t>）</w:t>
      </w:r>
      <w:r>
        <w:rPr>
          <w:rFonts w:hint="eastAsia" w:ascii="楷体" w:hAnsi="楷体" w:eastAsia="楷体"/>
          <w:b/>
          <w:szCs w:val="32"/>
        </w:rPr>
        <w:t>青岛市奖励性</w:t>
      </w:r>
      <w:r>
        <w:rPr>
          <w:rFonts w:ascii="楷体" w:hAnsi="楷体" w:eastAsia="楷体"/>
          <w:b/>
          <w:szCs w:val="32"/>
        </w:rPr>
        <w:t>政策</w:t>
      </w:r>
    </w:p>
    <w:p w14:paraId="07613A66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b/>
          <w:szCs w:val="32"/>
        </w:rPr>
      </w:pPr>
      <w:r>
        <w:rPr>
          <w:rFonts w:hint="eastAsia"/>
          <w:szCs w:val="32"/>
        </w:rPr>
        <w:t>对获批中国博士后科学基金资助，或获选省博士后创</w:t>
      </w:r>
      <w:r>
        <w:rPr>
          <w:szCs w:val="32"/>
        </w:rPr>
        <w:t>新人才支持计划、博士后创新项目资助，或者获市级以上项目、课题（个人均排名前三位）的在站（基地）博士后，从获批或入选当月起，每月加发2000元的激励生活资助</w:t>
      </w:r>
      <w:r>
        <w:rPr>
          <w:rFonts w:hint="eastAsia"/>
          <w:szCs w:val="32"/>
        </w:rPr>
        <w:t>；对入选全国博士后创新人才支持计划的、在省部级以上创新创业比赛中获三等以上奖项（项目负责人）、获评市级及以上人才工程荣誉称号的，或获评市级及以上自然科学奖、技术</w:t>
      </w:r>
      <w:r>
        <w:rPr>
          <w:szCs w:val="32"/>
        </w:rPr>
        <w:t>发明奖、科技进步奖（个人排名前三位）的在站（基地）博士后，从入选或获评当月起，每月加发6000元的激励生活资助</w:t>
      </w:r>
      <w:r>
        <w:rPr>
          <w:rFonts w:hint="eastAsia"/>
          <w:szCs w:val="32"/>
        </w:rPr>
        <w:t>；对博士后承担的创新项目，经市人力资源社会保障部门组织专家评审认定后，按照</w:t>
      </w:r>
      <w:r>
        <w:rPr>
          <w:szCs w:val="32"/>
        </w:rPr>
        <w:t xml:space="preserve"> 5 万元标准给予资助，排名前20%的资助标准提高到10万元</w:t>
      </w:r>
      <w:r>
        <w:rPr>
          <w:rFonts w:hint="eastAsia"/>
          <w:szCs w:val="32"/>
        </w:rPr>
        <w:t>。</w:t>
      </w:r>
    </w:p>
    <w:p w14:paraId="53023FF6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四、招聘程序</w:t>
      </w:r>
    </w:p>
    <w:p w14:paraId="1C5C488F">
      <w:pPr>
        <w:widowControl w:val="0"/>
        <w:adjustRightInd w:val="0"/>
        <w:snapToGrid w:val="0"/>
        <w:spacing w:after="0" w:line="560" w:lineRule="exact"/>
        <w:ind w:left="0" w:firstLine="643" w:firstLineChars="200"/>
        <w:jc w:val="both"/>
        <w:rPr>
          <w:rFonts w:ascii="楷体" w:hAnsi="楷体" w:eastAsia="楷体"/>
          <w:b/>
          <w:szCs w:val="32"/>
        </w:rPr>
      </w:pPr>
      <w:r>
        <w:rPr>
          <w:rFonts w:hint="eastAsia" w:ascii="楷体" w:hAnsi="楷体" w:eastAsia="楷体"/>
          <w:b/>
          <w:szCs w:val="32"/>
        </w:rPr>
        <w:t>（一</w:t>
      </w:r>
      <w:r>
        <w:rPr>
          <w:rFonts w:ascii="楷体" w:hAnsi="楷体" w:eastAsia="楷体"/>
          <w:b/>
          <w:szCs w:val="32"/>
        </w:rPr>
        <w:t>）</w:t>
      </w:r>
      <w:r>
        <w:rPr>
          <w:rFonts w:hint="eastAsia" w:ascii="楷体" w:hAnsi="楷体" w:eastAsia="楷体"/>
          <w:b/>
          <w:szCs w:val="32"/>
        </w:rPr>
        <w:t>个人</w:t>
      </w:r>
      <w:r>
        <w:rPr>
          <w:rFonts w:ascii="楷体" w:hAnsi="楷体" w:eastAsia="楷体"/>
          <w:b/>
          <w:szCs w:val="32"/>
        </w:rPr>
        <w:t>申报</w:t>
      </w:r>
    </w:p>
    <w:p w14:paraId="1D94BA20">
      <w:pPr>
        <w:widowControl w:val="0"/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应聘人员请填写《中国水产科学研究院黄海水产研究所202</w:t>
      </w:r>
      <w:r>
        <w:rPr>
          <w:szCs w:val="32"/>
        </w:rPr>
        <w:t>5</w:t>
      </w:r>
      <w:r>
        <w:rPr>
          <w:rFonts w:hint="eastAsia"/>
          <w:szCs w:val="32"/>
        </w:rPr>
        <w:t>年公开招聘工作人员简历》（附件4，可在</w:t>
      </w:r>
      <w:r>
        <w:rPr>
          <w:szCs w:val="32"/>
        </w:rPr>
        <w:t>黄海水产研究所官网“</w:t>
      </w:r>
      <w:r>
        <w:rPr>
          <w:rFonts w:hint="eastAsia"/>
          <w:szCs w:val="32"/>
        </w:rPr>
        <w:t>招聘</w:t>
      </w:r>
      <w:r>
        <w:rPr>
          <w:szCs w:val="32"/>
        </w:rPr>
        <w:t>与培养”</w:t>
      </w:r>
      <w:r>
        <w:rPr>
          <w:rFonts w:hint="eastAsia"/>
          <w:szCs w:val="32"/>
        </w:rPr>
        <w:t>栏目</w:t>
      </w:r>
      <w:r>
        <w:rPr>
          <w:szCs w:val="32"/>
        </w:rPr>
        <w:t>下载</w:t>
      </w:r>
      <w:r>
        <w:rPr>
          <w:rFonts w:hint="eastAsia"/>
          <w:szCs w:val="32"/>
        </w:rPr>
        <w:t>），连同附件</w:t>
      </w:r>
      <w:r>
        <w:rPr>
          <w:szCs w:val="32"/>
        </w:rPr>
        <w:t>证明材料</w:t>
      </w:r>
      <w:r>
        <w:rPr>
          <w:rFonts w:hint="eastAsia"/>
          <w:szCs w:val="32"/>
        </w:rPr>
        <w:t>发送至</w:t>
      </w:r>
      <w:r>
        <w:rPr>
          <w:szCs w:val="32"/>
        </w:rPr>
        <w:t>招聘邮箱</w:t>
      </w:r>
      <w:r>
        <w:rPr>
          <w:rFonts w:hint="eastAsia" w:ascii="微软雅黑" w:hAnsi="微软雅黑" w:eastAsia="微软雅黑" w:cs="微软雅黑"/>
          <w:b/>
          <w:color w:val="C00000"/>
          <w:sz w:val="30"/>
          <w:szCs w:val="30"/>
        </w:rPr>
        <w:t>zhaopin@ysfri.ac.cn</w:t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t>,</w:t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fldChar w:fldCharType="begin"/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instrText xml:space="preserve"> HYPERLINK "mailto:ysfrirsc@126.com" </w:instrText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fldChar w:fldCharType="separate"/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t>ysfrirsc@126.com</w:t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fldChar w:fldCharType="end"/>
      </w:r>
      <w:r>
        <w:rPr>
          <w:rFonts w:hint="eastAsia"/>
          <w:szCs w:val="32"/>
        </w:rPr>
        <w:t>，发送邮件时</w:t>
      </w:r>
      <w:r>
        <w:rPr>
          <w:rFonts w:hint="eastAsia"/>
          <w:b/>
          <w:szCs w:val="32"/>
        </w:rPr>
        <w:t>标题</w:t>
      </w:r>
      <w:r>
        <w:rPr>
          <w:rFonts w:hint="eastAsia"/>
          <w:szCs w:val="32"/>
        </w:rPr>
        <w:t>及</w:t>
      </w:r>
      <w:r>
        <w:rPr>
          <w:b/>
          <w:color w:val="auto"/>
          <w:szCs w:val="32"/>
        </w:rPr>
        <w:t>附件</w:t>
      </w:r>
      <w:r>
        <w:rPr>
          <w:szCs w:val="32"/>
        </w:rPr>
        <w:t>命名</w:t>
      </w:r>
      <w:r>
        <w:rPr>
          <w:rFonts w:hint="eastAsia"/>
          <w:szCs w:val="32"/>
        </w:rPr>
        <w:t>格式为“</w:t>
      </w:r>
      <w:r>
        <w:rPr>
          <w:rFonts w:hint="eastAsia"/>
          <w:b/>
          <w:bCs/>
          <w:color w:val="C00000"/>
          <w:szCs w:val="32"/>
        </w:rPr>
        <w:t>岗位名称-最高学位-姓名-毕业学校-毕业专业-研究方向</w:t>
      </w:r>
      <w:r>
        <w:rPr>
          <w:rFonts w:hint="eastAsia"/>
          <w:b/>
          <w:bCs/>
          <w:color w:val="C00000"/>
          <w:szCs w:val="32"/>
          <w:lang w:val="en-US" w:eastAsia="zh-CN"/>
        </w:rPr>
        <w:t>-海外博士网</w:t>
      </w:r>
      <w:r>
        <w:rPr>
          <w:rFonts w:hint="eastAsia"/>
          <w:szCs w:val="32"/>
        </w:rPr>
        <w:t>”。</w:t>
      </w:r>
    </w:p>
    <w:p w14:paraId="77DC4944">
      <w:pPr>
        <w:widowControl w:val="0"/>
        <w:adjustRightInd w:val="0"/>
        <w:snapToGrid w:val="0"/>
        <w:spacing w:after="0" w:line="560" w:lineRule="exact"/>
        <w:ind w:left="0" w:firstLine="643" w:firstLineChars="200"/>
        <w:jc w:val="both"/>
        <w:rPr>
          <w:rFonts w:ascii="楷体" w:hAnsi="楷体" w:eastAsia="楷体"/>
          <w:b/>
          <w:szCs w:val="32"/>
        </w:rPr>
      </w:pPr>
      <w:r>
        <w:rPr>
          <w:rFonts w:hint="eastAsia" w:ascii="楷体" w:hAnsi="楷体" w:eastAsia="楷体"/>
          <w:b/>
          <w:szCs w:val="32"/>
        </w:rPr>
        <w:t>（二</w:t>
      </w:r>
      <w:r>
        <w:rPr>
          <w:rFonts w:ascii="楷体" w:hAnsi="楷体" w:eastAsia="楷体"/>
          <w:b/>
          <w:szCs w:val="32"/>
        </w:rPr>
        <w:t>）</w:t>
      </w:r>
      <w:r>
        <w:rPr>
          <w:rFonts w:hint="eastAsia" w:ascii="楷体" w:hAnsi="楷体" w:eastAsia="楷体"/>
          <w:b/>
          <w:szCs w:val="32"/>
        </w:rPr>
        <w:t>资格</w:t>
      </w:r>
      <w:r>
        <w:rPr>
          <w:rFonts w:ascii="楷体" w:hAnsi="楷体" w:eastAsia="楷体"/>
          <w:b/>
          <w:szCs w:val="32"/>
        </w:rPr>
        <w:t>审查</w:t>
      </w:r>
    </w:p>
    <w:p w14:paraId="12DAE3BF">
      <w:pPr>
        <w:widowControl w:val="0"/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对报名人员进行资格审查，确定参加笔试人选。岗位招聘人数与通过资格审查人数的比例达到</w:t>
      </w:r>
      <w:r>
        <w:rPr>
          <w:szCs w:val="32"/>
        </w:rPr>
        <w:t>1:3方可进行下一步环节，达不到该比例的，视情况研究决定是否减少该岗位招聘人数或取消招聘。</w:t>
      </w:r>
    </w:p>
    <w:p w14:paraId="16E4FD8B">
      <w:pPr>
        <w:widowControl w:val="0"/>
        <w:adjustRightInd w:val="0"/>
        <w:snapToGrid w:val="0"/>
        <w:spacing w:after="0" w:line="560" w:lineRule="exact"/>
        <w:ind w:left="0" w:firstLine="643" w:firstLineChars="200"/>
        <w:jc w:val="both"/>
        <w:rPr>
          <w:rFonts w:ascii="楷体" w:hAnsi="楷体" w:eastAsia="楷体"/>
          <w:b/>
          <w:szCs w:val="32"/>
        </w:rPr>
      </w:pPr>
      <w:r>
        <w:rPr>
          <w:rFonts w:hint="eastAsia" w:ascii="楷体" w:hAnsi="楷体" w:eastAsia="楷体"/>
          <w:b/>
          <w:szCs w:val="32"/>
        </w:rPr>
        <w:t>（三</w:t>
      </w:r>
      <w:r>
        <w:rPr>
          <w:rFonts w:ascii="楷体" w:hAnsi="楷体" w:eastAsia="楷体"/>
          <w:b/>
          <w:szCs w:val="32"/>
        </w:rPr>
        <w:t>）</w:t>
      </w:r>
      <w:r>
        <w:rPr>
          <w:rFonts w:hint="eastAsia" w:ascii="楷体" w:hAnsi="楷体" w:eastAsia="楷体"/>
          <w:b/>
          <w:szCs w:val="32"/>
        </w:rPr>
        <w:t>组织</w:t>
      </w:r>
      <w:r>
        <w:rPr>
          <w:rFonts w:ascii="楷体" w:hAnsi="楷体" w:eastAsia="楷体"/>
          <w:b/>
          <w:szCs w:val="32"/>
        </w:rPr>
        <w:t>考试</w:t>
      </w:r>
    </w:p>
    <w:p w14:paraId="42462E80">
      <w:pPr>
        <w:widowControl w:val="0"/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我所自公开招聘公告发布之日起开始接收各岗位投递简历，各岗位将分批次开展笔试和面试工作，具体时间另行通知，考试</w:t>
      </w:r>
      <w:r>
        <w:rPr>
          <w:szCs w:val="32"/>
        </w:rPr>
        <w:t>信息将</w:t>
      </w:r>
      <w:r>
        <w:rPr>
          <w:rFonts w:hint="eastAsia"/>
          <w:szCs w:val="32"/>
        </w:rPr>
        <w:t>在</w:t>
      </w:r>
      <w:r>
        <w:rPr>
          <w:szCs w:val="32"/>
        </w:rPr>
        <w:t>单位官网</w:t>
      </w:r>
      <w:r>
        <w:rPr>
          <w:rFonts w:hint="eastAsia"/>
          <w:szCs w:val="32"/>
        </w:rPr>
        <w:t>发布。</w:t>
      </w:r>
    </w:p>
    <w:p w14:paraId="782985BA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 w:ascii="黑体" w:hAnsi="黑体" w:eastAsia="黑体" w:cs="黑体"/>
          <w:szCs w:val="32"/>
        </w:rPr>
        <w:t xml:space="preserve">五、联系方式 </w:t>
      </w:r>
    </w:p>
    <w:p w14:paraId="0D6361B0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单位地址：山东省青岛市市南区南京路106号</w:t>
      </w:r>
    </w:p>
    <w:p w14:paraId="31461325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联 系 人：洪老师、</w:t>
      </w:r>
      <w:r>
        <w:rPr>
          <w:szCs w:val="32"/>
        </w:rPr>
        <w:t>葛老师</w:t>
      </w:r>
    </w:p>
    <w:p w14:paraId="5246584D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</w:pPr>
      <w:r>
        <w:rPr>
          <w:rFonts w:hint="eastAsia"/>
          <w:szCs w:val="32"/>
        </w:rPr>
        <w:t>邮    箱：</w:t>
      </w:r>
      <w:r>
        <w:rPr>
          <w:rFonts w:hint="eastAsia" w:ascii="微软雅黑" w:hAnsi="微软雅黑" w:eastAsia="微软雅黑" w:cs="微软雅黑"/>
          <w:b/>
          <w:color w:val="C00000"/>
          <w:sz w:val="30"/>
          <w:szCs w:val="30"/>
        </w:rPr>
        <w:t>zhaopin@ysfri.ac.cn</w:t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t>,</w:t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fldChar w:fldCharType="begin"/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instrText xml:space="preserve"> HYPERLINK "mailto:ysfrirsc@126.com" </w:instrText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fldChar w:fldCharType="separate"/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t>ysfrirsc@126.com</w:t>
      </w:r>
      <w:r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  <w:fldChar w:fldCharType="end"/>
      </w:r>
    </w:p>
    <w:p w14:paraId="60146CF9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rFonts w:hint="eastAsia" w:ascii="微软雅黑" w:hAnsi="微软雅黑" w:eastAsia="微软雅黑" w:cs="微软雅黑"/>
          <w:b/>
          <w:bCs/>
          <w:color w:val="C00000"/>
          <w:sz w:val="30"/>
          <w:szCs w:val="30"/>
        </w:rPr>
      </w:pPr>
      <w:r>
        <w:rPr>
          <w:rFonts w:hint="eastAsia"/>
          <w:szCs w:val="32"/>
        </w:rPr>
        <w:t>发送邮件时</w:t>
      </w:r>
      <w:r>
        <w:rPr>
          <w:rFonts w:hint="eastAsia"/>
          <w:b/>
          <w:szCs w:val="32"/>
        </w:rPr>
        <w:t>标题</w:t>
      </w:r>
      <w:r>
        <w:rPr>
          <w:rFonts w:hint="eastAsia"/>
          <w:szCs w:val="32"/>
        </w:rPr>
        <w:t>及</w:t>
      </w:r>
      <w:r>
        <w:rPr>
          <w:b/>
          <w:color w:val="auto"/>
          <w:szCs w:val="32"/>
        </w:rPr>
        <w:t>附件</w:t>
      </w:r>
      <w:r>
        <w:rPr>
          <w:szCs w:val="32"/>
        </w:rPr>
        <w:t>命名</w:t>
      </w:r>
      <w:r>
        <w:rPr>
          <w:rFonts w:hint="eastAsia"/>
          <w:szCs w:val="32"/>
        </w:rPr>
        <w:t>格式为“</w:t>
      </w:r>
      <w:r>
        <w:rPr>
          <w:rFonts w:hint="eastAsia"/>
          <w:b/>
          <w:bCs/>
          <w:color w:val="C00000"/>
          <w:szCs w:val="32"/>
        </w:rPr>
        <w:t>岗位名称-最高学位-姓名-毕业学校-毕业专业-研究方向</w:t>
      </w:r>
      <w:r>
        <w:rPr>
          <w:rFonts w:hint="eastAsia"/>
          <w:b/>
          <w:bCs/>
          <w:color w:val="C00000"/>
          <w:szCs w:val="32"/>
          <w:lang w:val="en-US" w:eastAsia="zh-CN"/>
        </w:rPr>
        <w:t>-海外博士网</w:t>
      </w:r>
      <w:r>
        <w:rPr>
          <w:rFonts w:hint="eastAsia"/>
          <w:szCs w:val="32"/>
        </w:rPr>
        <w:t>”</w:t>
      </w:r>
    </w:p>
    <w:p w14:paraId="0C8A8A1A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邮编：266071</w:t>
      </w:r>
    </w:p>
    <w:p w14:paraId="44D6D3E2">
      <w:pPr>
        <w:adjustRightInd w:val="0"/>
        <w:snapToGrid w:val="0"/>
        <w:spacing w:after="0" w:line="560" w:lineRule="exact"/>
        <w:ind w:left="0" w:firstLine="640" w:firstLineChars="200"/>
        <w:jc w:val="both"/>
        <w:rPr>
          <w:szCs w:val="32"/>
        </w:rPr>
      </w:pPr>
      <w:r>
        <w:rPr>
          <w:rFonts w:hint="eastAsia"/>
          <w:szCs w:val="32"/>
        </w:rPr>
        <w:t>联系电话：0532-</w:t>
      </w:r>
      <w:r>
        <w:rPr>
          <w:szCs w:val="32"/>
        </w:rPr>
        <w:t>85822958</w:t>
      </w:r>
      <w:r>
        <w:rPr>
          <w:rFonts w:hint="eastAsia"/>
          <w:szCs w:val="32"/>
        </w:rPr>
        <w:t xml:space="preserve">，0532-85817503 </w:t>
      </w:r>
      <w:r>
        <w:rPr>
          <w:szCs w:val="32"/>
        </w:rPr>
        <w:t xml:space="preserve">   </w:t>
      </w:r>
      <w:r>
        <w:rPr>
          <w:rFonts w:hint="eastAsia"/>
          <w:szCs w:val="32"/>
        </w:rPr>
        <w:t xml:space="preserve">   </w:t>
      </w:r>
    </w:p>
    <w:p w14:paraId="7B19729C">
      <w:pPr>
        <w:adjustRightInd w:val="0"/>
        <w:snapToGrid w:val="0"/>
        <w:spacing w:after="0" w:line="560" w:lineRule="exact"/>
        <w:ind w:left="0" w:leftChars="0" w:firstLine="0" w:firstLineChars="0"/>
        <w:jc w:val="both"/>
        <w:rPr>
          <w:szCs w:val="32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</w:p>
  </w:endnote>
  <w:endnote w:type="continuationSeparator" w:id="1">
    <w:p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</w:p>
  </w:footnote>
  <w:footnote w:type="continuationSeparator" w:id="1">
    <w:p>
      <w:pPr>
        <w:spacing w:before="0" w:after="0" w:line="259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5C0"/>
    <w:rsid w:val="00020768"/>
    <w:rsid w:val="000240CE"/>
    <w:rsid w:val="00050A60"/>
    <w:rsid w:val="00057DFB"/>
    <w:rsid w:val="00065E12"/>
    <w:rsid w:val="000E4A18"/>
    <w:rsid w:val="00112585"/>
    <w:rsid w:val="00116C83"/>
    <w:rsid w:val="00120BEF"/>
    <w:rsid w:val="001245C0"/>
    <w:rsid w:val="00136E75"/>
    <w:rsid w:val="0016401D"/>
    <w:rsid w:val="00194034"/>
    <w:rsid w:val="0019663D"/>
    <w:rsid w:val="001D6828"/>
    <w:rsid w:val="001E3DA3"/>
    <w:rsid w:val="00201EF8"/>
    <w:rsid w:val="00205AE6"/>
    <w:rsid w:val="00234D78"/>
    <w:rsid w:val="00250676"/>
    <w:rsid w:val="0029288D"/>
    <w:rsid w:val="002B1358"/>
    <w:rsid w:val="002C0EA9"/>
    <w:rsid w:val="002D6381"/>
    <w:rsid w:val="002E3FF7"/>
    <w:rsid w:val="002E5B1D"/>
    <w:rsid w:val="00306050"/>
    <w:rsid w:val="003071D3"/>
    <w:rsid w:val="0031489F"/>
    <w:rsid w:val="003407FD"/>
    <w:rsid w:val="00343163"/>
    <w:rsid w:val="00344626"/>
    <w:rsid w:val="003468A0"/>
    <w:rsid w:val="0038147D"/>
    <w:rsid w:val="00391FF4"/>
    <w:rsid w:val="00397CC9"/>
    <w:rsid w:val="003A7505"/>
    <w:rsid w:val="003C7879"/>
    <w:rsid w:val="003D03AF"/>
    <w:rsid w:val="003E15CA"/>
    <w:rsid w:val="003E16E6"/>
    <w:rsid w:val="003F19A7"/>
    <w:rsid w:val="004004D6"/>
    <w:rsid w:val="004357D1"/>
    <w:rsid w:val="00446B82"/>
    <w:rsid w:val="00463100"/>
    <w:rsid w:val="00491DAD"/>
    <w:rsid w:val="004A74CD"/>
    <w:rsid w:val="004D3A2E"/>
    <w:rsid w:val="004D4AE3"/>
    <w:rsid w:val="00513F3A"/>
    <w:rsid w:val="00524A14"/>
    <w:rsid w:val="00541ABC"/>
    <w:rsid w:val="005424B0"/>
    <w:rsid w:val="00547A41"/>
    <w:rsid w:val="005512D5"/>
    <w:rsid w:val="00565806"/>
    <w:rsid w:val="00596541"/>
    <w:rsid w:val="005A1C32"/>
    <w:rsid w:val="005B64ED"/>
    <w:rsid w:val="005C6BB7"/>
    <w:rsid w:val="005E6661"/>
    <w:rsid w:val="005F0E1D"/>
    <w:rsid w:val="00601726"/>
    <w:rsid w:val="006327C9"/>
    <w:rsid w:val="00636D20"/>
    <w:rsid w:val="006524AC"/>
    <w:rsid w:val="00656BA5"/>
    <w:rsid w:val="00660552"/>
    <w:rsid w:val="00661F05"/>
    <w:rsid w:val="00663F69"/>
    <w:rsid w:val="0069008D"/>
    <w:rsid w:val="00693D2D"/>
    <w:rsid w:val="006B0B65"/>
    <w:rsid w:val="006C0776"/>
    <w:rsid w:val="006C5187"/>
    <w:rsid w:val="006D7C8D"/>
    <w:rsid w:val="00717433"/>
    <w:rsid w:val="007467D8"/>
    <w:rsid w:val="00750252"/>
    <w:rsid w:val="00756D9B"/>
    <w:rsid w:val="007759FF"/>
    <w:rsid w:val="007A2894"/>
    <w:rsid w:val="007B523D"/>
    <w:rsid w:val="007B69FB"/>
    <w:rsid w:val="007F378D"/>
    <w:rsid w:val="007F4CA5"/>
    <w:rsid w:val="007F55E9"/>
    <w:rsid w:val="007F6625"/>
    <w:rsid w:val="00820F8A"/>
    <w:rsid w:val="00826BAC"/>
    <w:rsid w:val="008A1C05"/>
    <w:rsid w:val="008A6683"/>
    <w:rsid w:val="008A79F3"/>
    <w:rsid w:val="008B39B7"/>
    <w:rsid w:val="008C59D5"/>
    <w:rsid w:val="008F22C2"/>
    <w:rsid w:val="008F51C4"/>
    <w:rsid w:val="009107C6"/>
    <w:rsid w:val="00931F3C"/>
    <w:rsid w:val="00967BF7"/>
    <w:rsid w:val="009A06DF"/>
    <w:rsid w:val="009B2158"/>
    <w:rsid w:val="009B291A"/>
    <w:rsid w:val="009E64DF"/>
    <w:rsid w:val="009F0A13"/>
    <w:rsid w:val="009F7CF2"/>
    <w:rsid w:val="00A00C24"/>
    <w:rsid w:val="00A118DF"/>
    <w:rsid w:val="00A149EE"/>
    <w:rsid w:val="00A3500D"/>
    <w:rsid w:val="00A56821"/>
    <w:rsid w:val="00A606F3"/>
    <w:rsid w:val="00A94417"/>
    <w:rsid w:val="00AA3A4D"/>
    <w:rsid w:val="00AB4F4D"/>
    <w:rsid w:val="00AB762E"/>
    <w:rsid w:val="00AC305B"/>
    <w:rsid w:val="00AF2B8C"/>
    <w:rsid w:val="00B07548"/>
    <w:rsid w:val="00B34B66"/>
    <w:rsid w:val="00B45532"/>
    <w:rsid w:val="00B62C3B"/>
    <w:rsid w:val="00B84713"/>
    <w:rsid w:val="00B860EF"/>
    <w:rsid w:val="00BB619F"/>
    <w:rsid w:val="00BB727F"/>
    <w:rsid w:val="00BE377F"/>
    <w:rsid w:val="00C2013E"/>
    <w:rsid w:val="00C20C99"/>
    <w:rsid w:val="00C33837"/>
    <w:rsid w:val="00C363DB"/>
    <w:rsid w:val="00C67BA5"/>
    <w:rsid w:val="00C74836"/>
    <w:rsid w:val="00CC0D05"/>
    <w:rsid w:val="00CC712A"/>
    <w:rsid w:val="00CD35E5"/>
    <w:rsid w:val="00CE07A3"/>
    <w:rsid w:val="00CE1979"/>
    <w:rsid w:val="00CE20A7"/>
    <w:rsid w:val="00CE58F1"/>
    <w:rsid w:val="00CF59A4"/>
    <w:rsid w:val="00D06AFE"/>
    <w:rsid w:val="00D3500B"/>
    <w:rsid w:val="00D451A1"/>
    <w:rsid w:val="00D45A0C"/>
    <w:rsid w:val="00D60282"/>
    <w:rsid w:val="00D95B90"/>
    <w:rsid w:val="00DC1A44"/>
    <w:rsid w:val="00DC2464"/>
    <w:rsid w:val="00DC5D6B"/>
    <w:rsid w:val="00DD0730"/>
    <w:rsid w:val="00E06C72"/>
    <w:rsid w:val="00E07548"/>
    <w:rsid w:val="00E64C6F"/>
    <w:rsid w:val="00E74D00"/>
    <w:rsid w:val="00E82F07"/>
    <w:rsid w:val="00E94DC9"/>
    <w:rsid w:val="00E959ED"/>
    <w:rsid w:val="00ED6F29"/>
    <w:rsid w:val="00EE1A30"/>
    <w:rsid w:val="00F1183F"/>
    <w:rsid w:val="00F22FB8"/>
    <w:rsid w:val="00F23E42"/>
    <w:rsid w:val="00F26B26"/>
    <w:rsid w:val="00F527CA"/>
    <w:rsid w:val="00F93C02"/>
    <w:rsid w:val="00FA254B"/>
    <w:rsid w:val="00FB5443"/>
    <w:rsid w:val="00FC471B"/>
    <w:rsid w:val="00FC5455"/>
    <w:rsid w:val="00FC6836"/>
    <w:rsid w:val="00FE1D70"/>
    <w:rsid w:val="00FE60FE"/>
    <w:rsid w:val="00FE7222"/>
    <w:rsid w:val="0D21216C"/>
    <w:rsid w:val="1BF23BBA"/>
    <w:rsid w:val="1EE56F1B"/>
    <w:rsid w:val="23F9057D"/>
    <w:rsid w:val="2AFC6642"/>
    <w:rsid w:val="2C4414C7"/>
    <w:rsid w:val="311F3710"/>
    <w:rsid w:val="35E52AF5"/>
    <w:rsid w:val="41E9464F"/>
    <w:rsid w:val="45672C23"/>
    <w:rsid w:val="4F16006E"/>
    <w:rsid w:val="57B4547E"/>
    <w:rsid w:val="5AD707BD"/>
    <w:rsid w:val="688A420D"/>
    <w:rsid w:val="71597F6F"/>
    <w:rsid w:val="75C66E24"/>
    <w:rsid w:val="78C01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34" w:line="259" w:lineRule="auto"/>
      <w:ind w:left="10" w:hanging="10"/>
    </w:pPr>
    <w:rPr>
      <w:rFonts w:ascii="仿宋" w:hAnsi="仿宋" w:eastAsia="仿宋" w:cs="仿宋"/>
      <w:color w:val="000000"/>
      <w:kern w:val="2"/>
      <w:sz w:val="32"/>
      <w:szCs w:val="22"/>
      <w:lang w:val="en-US" w:eastAsia="zh-CN" w:bidi="ar-SA"/>
    </w:rPr>
  </w:style>
  <w:style w:type="paragraph" w:styleId="2">
    <w:name w:val="heading 1"/>
    <w:next w:val="1"/>
    <w:link w:val="13"/>
    <w:unhideWhenUsed/>
    <w:qFormat/>
    <w:uiPriority w:val="9"/>
    <w:pPr>
      <w:keepNext/>
      <w:keepLines/>
      <w:spacing w:after="21" w:line="259" w:lineRule="auto"/>
      <w:ind w:left="10" w:right="163" w:hanging="10"/>
      <w:jc w:val="center"/>
      <w:outlineLvl w:val="0"/>
    </w:pPr>
    <w:rPr>
      <w:rFonts w:ascii="宋体" w:hAnsi="宋体" w:eastAsia="宋体" w:cs="宋体"/>
      <w:color w:val="000000"/>
      <w:kern w:val="2"/>
      <w:sz w:val="44"/>
      <w:szCs w:val="22"/>
      <w:lang w:val="en-US" w:eastAsia="zh-CN" w:bidi="ar-SA"/>
    </w:rPr>
  </w:style>
  <w:style w:type="paragraph" w:styleId="3">
    <w:name w:val="heading 2"/>
    <w:basedOn w:val="1"/>
    <w:next w:val="1"/>
    <w:link w:val="14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9"/>
    <w:semiHidden/>
    <w:unhideWhenUsed/>
    <w:qFormat/>
    <w:uiPriority w:val="99"/>
  </w:style>
  <w:style w:type="paragraph" w:styleId="5">
    <w:name w:val="Balloon Text"/>
    <w:basedOn w:val="1"/>
    <w:link w:val="15"/>
    <w:semiHidden/>
    <w:unhideWhenUsed/>
    <w:qFormat/>
    <w:uiPriority w:val="99"/>
    <w:pPr>
      <w:spacing w:after="0" w:line="240" w:lineRule="auto"/>
    </w:pPr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8">
    <w:name w:val="annotation subject"/>
    <w:basedOn w:val="4"/>
    <w:next w:val="4"/>
    <w:link w:val="20"/>
    <w:semiHidden/>
    <w:unhideWhenUsed/>
    <w:qFormat/>
    <w:uiPriority w:val="99"/>
    <w:rPr>
      <w:b/>
      <w:bCs/>
    </w:rPr>
  </w:style>
  <w:style w:type="character" w:styleId="11">
    <w:name w:val="Hyperlink"/>
    <w:basedOn w:val="10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2">
    <w:name w:val="annotation reference"/>
    <w:basedOn w:val="10"/>
    <w:semiHidden/>
    <w:unhideWhenUsed/>
    <w:qFormat/>
    <w:uiPriority w:val="99"/>
    <w:rPr>
      <w:sz w:val="21"/>
      <w:szCs w:val="21"/>
    </w:rPr>
  </w:style>
  <w:style w:type="character" w:customStyle="1" w:styleId="13">
    <w:name w:val="标题 1 字符"/>
    <w:basedOn w:val="10"/>
    <w:link w:val="2"/>
    <w:qFormat/>
    <w:uiPriority w:val="9"/>
    <w:rPr>
      <w:rFonts w:ascii="宋体" w:hAnsi="宋体" w:eastAsia="宋体" w:cs="宋体"/>
      <w:color w:val="000000"/>
      <w:sz w:val="44"/>
    </w:rPr>
  </w:style>
  <w:style w:type="character" w:customStyle="1" w:styleId="14">
    <w:name w:val="标题 2 字符"/>
    <w:basedOn w:val="10"/>
    <w:link w:val="3"/>
    <w:semiHidden/>
    <w:qFormat/>
    <w:uiPriority w:val="9"/>
    <w:rPr>
      <w:rFonts w:asciiTheme="majorHAnsi" w:hAnsiTheme="majorHAnsi" w:eastAsiaTheme="majorEastAsia" w:cstheme="majorBidi"/>
      <w:b/>
      <w:bCs/>
      <w:color w:val="000000"/>
      <w:sz w:val="32"/>
      <w:szCs w:val="32"/>
    </w:rPr>
  </w:style>
  <w:style w:type="character" w:customStyle="1" w:styleId="15">
    <w:name w:val="批注框文本 字符"/>
    <w:basedOn w:val="10"/>
    <w:link w:val="5"/>
    <w:semiHidden/>
    <w:qFormat/>
    <w:uiPriority w:val="99"/>
    <w:rPr>
      <w:rFonts w:ascii="仿宋" w:hAnsi="仿宋" w:eastAsia="仿宋" w:cs="仿宋"/>
      <w:color w:val="000000"/>
      <w:sz w:val="18"/>
      <w:szCs w:val="18"/>
    </w:rPr>
  </w:style>
  <w:style w:type="paragraph" w:styleId="16">
    <w:name w:val="List Paragraph"/>
    <w:basedOn w:val="1"/>
    <w:qFormat/>
    <w:uiPriority w:val="99"/>
    <w:pPr>
      <w:ind w:firstLine="420" w:firstLineChars="200"/>
    </w:pPr>
  </w:style>
  <w:style w:type="character" w:customStyle="1" w:styleId="17">
    <w:name w:val="页眉 字符"/>
    <w:basedOn w:val="10"/>
    <w:link w:val="7"/>
    <w:qFormat/>
    <w:uiPriority w:val="99"/>
    <w:rPr>
      <w:rFonts w:ascii="仿宋" w:hAnsi="仿宋" w:eastAsia="仿宋" w:cs="仿宋"/>
      <w:color w:val="000000"/>
      <w:kern w:val="2"/>
      <w:sz w:val="18"/>
      <w:szCs w:val="18"/>
    </w:rPr>
  </w:style>
  <w:style w:type="character" w:customStyle="1" w:styleId="18">
    <w:name w:val="页脚 字符"/>
    <w:basedOn w:val="10"/>
    <w:link w:val="6"/>
    <w:qFormat/>
    <w:uiPriority w:val="99"/>
    <w:rPr>
      <w:rFonts w:ascii="仿宋" w:hAnsi="仿宋" w:eastAsia="仿宋" w:cs="仿宋"/>
      <w:color w:val="000000"/>
      <w:kern w:val="2"/>
      <w:sz w:val="18"/>
      <w:szCs w:val="18"/>
    </w:rPr>
  </w:style>
  <w:style w:type="character" w:customStyle="1" w:styleId="19">
    <w:name w:val="批注文字 字符"/>
    <w:basedOn w:val="10"/>
    <w:link w:val="4"/>
    <w:semiHidden/>
    <w:qFormat/>
    <w:uiPriority w:val="99"/>
    <w:rPr>
      <w:rFonts w:ascii="仿宋" w:hAnsi="仿宋" w:eastAsia="仿宋" w:cs="仿宋"/>
      <w:color w:val="000000"/>
      <w:kern w:val="2"/>
      <w:sz w:val="32"/>
      <w:szCs w:val="22"/>
    </w:rPr>
  </w:style>
  <w:style w:type="character" w:customStyle="1" w:styleId="20">
    <w:name w:val="批注主题 字符"/>
    <w:basedOn w:val="19"/>
    <w:link w:val="8"/>
    <w:semiHidden/>
    <w:qFormat/>
    <w:uiPriority w:val="99"/>
    <w:rPr>
      <w:rFonts w:ascii="仿宋" w:hAnsi="仿宋" w:eastAsia="仿宋" w:cs="仿宋"/>
      <w:b/>
      <w:bCs/>
      <w:color w:val="000000"/>
      <w:kern w:val="2"/>
      <w:sz w:val="32"/>
      <w:szCs w:val="22"/>
    </w:rPr>
  </w:style>
  <w:style w:type="character" w:customStyle="1" w:styleId="21">
    <w:name w:val="text_zapiw"/>
    <w:basedOn w:val="10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hhs</Company>
  <Pages>4</Pages>
  <Words>2034</Words>
  <Characters>2223</Characters>
  <Lines>16</Lines>
  <Paragraphs>4</Paragraphs>
  <TotalTime>1</TotalTime>
  <ScaleCrop>false</ScaleCrop>
  <LinksUpToDate>false</LinksUpToDate>
  <CharactersWithSpaces>2240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2023-12-28T05:39:00Z</dcterms:created>
  <dc:creator>shanjuan</dc:creator>
  <cp:lastModifiedBy>win10</cp:lastModifiedBy>
  <cp:lastPrinted>2024-12-03T00:57:00Z</cp:lastPrinted>
  <dcterms:modified xsi:type="dcterms:W3CDTF">2024-12-11T09:55:43Z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3B06DAE6BF3946A48452F8D309F3F6B0</vt:lpwstr>
  </property>
</Properties>
</file>