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560" w:lineRule="exact"/>
        <w:jc w:val="center"/>
        <w:rPr>
          <w:rFonts w:ascii="方正小标宋简体" w:eastAsia="方正小标宋简体"/>
          <w:sz w:val="44"/>
          <w:szCs w:val="44"/>
        </w:rPr>
      </w:pPr>
      <w:r>
        <w:rPr>
          <w:rFonts w:hint="eastAsia" w:ascii="方正小标宋简体" w:eastAsia="方正小标宋简体"/>
          <w:sz w:val="44"/>
          <w:szCs w:val="44"/>
        </w:rPr>
        <w:t>中国石油大庆油田有限责任公司</w:t>
      </w:r>
    </w:p>
    <w:p>
      <w:pPr>
        <w:widowControl/>
        <w:shd w:val="clear" w:color="auto" w:fill="FFFFFF"/>
        <w:spacing w:line="560" w:lineRule="exact"/>
        <w:jc w:val="center"/>
        <w:rPr>
          <w:rFonts w:ascii="方正小标宋简体" w:eastAsia="方正小标宋简体"/>
          <w:sz w:val="44"/>
          <w:szCs w:val="44"/>
        </w:rPr>
      </w:pPr>
      <w:r>
        <w:rPr>
          <w:rFonts w:hint="eastAsia" w:ascii="方正小标宋简体" w:eastAsia="方正小标宋简体"/>
          <w:sz w:val="44"/>
          <w:szCs w:val="44"/>
          <w:lang w:eastAsia="zh-CN"/>
        </w:rPr>
        <w:t>2023</w:t>
      </w:r>
      <w:r>
        <w:rPr>
          <w:rFonts w:hint="eastAsia" w:ascii="方正小标宋简体" w:eastAsia="方正小标宋简体"/>
          <w:sz w:val="44"/>
          <w:szCs w:val="44"/>
        </w:rPr>
        <w:t>年高校毕业生招聘启事</w:t>
      </w:r>
    </w:p>
    <w:p>
      <w:pPr>
        <w:widowControl/>
        <w:shd w:val="clear" w:color="auto" w:fill="FFFFFF"/>
        <w:spacing w:line="560" w:lineRule="exact"/>
        <w:ind w:firstLine="640" w:firstLineChars="200"/>
        <w:rPr>
          <w:rFonts w:ascii="方正小标宋简体" w:hAnsi="Arial" w:eastAsia="方正小标宋简体" w:cs="Arial"/>
          <w:kern w:val="0"/>
          <w:sz w:val="32"/>
          <w:szCs w:val="32"/>
        </w:rPr>
      </w:pPr>
    </w:p>
    <w:p>
      <w:pPr>
        <w:widowControl/>
        <w:shd w:val="clear" w:color="auto" w:fill="FFFFFF"/>
        <w:spacing w:line="560" w:lineRule="exact"/>
        <w:ind w:firstLine="640" w:firstLineChars="200"/>
        <w:rPr>
          <w:rFonts w:ascii="方正黑体简体" w:hAnsi="Arial" w:eastAsia="方正黑体简体" w:cs="Arial"/>
          <w:kern w:val="0"/>
          <w:sz w:val="32"/>
          <w:szCs w:val="32"/>
        </w:rPr>
      </w:pPr>
      <w:r>
        <w:rPr>
          <w:rFonts w:hint="eastAsia" w:ascii="方正黑体简体" w:hAnsi="Arial" w:eastAsia="方正黑体简体" w:cs="Arial"/>
          <w:kern w:val="0"/>
          <w:sz w:val="32"/>
          <w:szCs w:val="32"/>
        </w:rPr>
        <w:t>一、企业简介</w:t>
      </w:r>
    </w:p>
    <w:p>
      <w:pPr>
        <w:tabs>
          <w:tab w:val="left" w:pos="3600"/>
        </w:tabs>
        <w:spacing w:line="560" w:lineRule="exact"/>
        <w:ind w:firstLine="624" w:firstLineChars="200"/>
        <w:rPr>
          <w:rFonts w:ascii="方正仿宋简体" w:eastAsia="方正仿宋简体"/>
          <w:spacing w:val="-4"/>
          <w:sz w:val="32"/>
          <w:szCs w:val="32"/>
        </w:rPr>
      </w:pPr>
      <w:r>
        <w:rPr>
          <w:rFonts w:hint="eastAsia" w:ascii="方正仿宋简体" w:eastAsia="方正仿宋简体"/>
          <w:spacing w:val="-4"/>
          <w:sz w:val="32"/>
          <w:szCs w:val="32"/>
        </w:rPr>
        <w:t>大庆油田1959年发现、1960年开发，是我国</w:t>
      </w:r>
      <w:r>
        <w:rPr>
          <w:rFonts w:hint="eastAsia" w:ascii="方正仿宋简体" w:eastAsia="方正仿宋简体"/>
          <w:spacing w:val="-4"/>
          <w:sz w:val="32"/>
          <w:szCs w:val="32"/>
          <w:lang w:eastAsia="zh-CN"/>
        </w:rPr>
        <w:t>重要的石油生产基地</w:t>
      </w:r>
      <w:r>
        <w:rPr>
          <w:rFonts w:hint="eastAsia" w:ascii="方正仿宋简体" w:eastAsia="方正仿宋简体"/>
          <w:spacing w:val="-4"/>
          <w:sz w:val="32"/>
          <w:szCs w:val="32"/>
        </w:rPr>
        <w:t>，也是世界上为数不多的特大型砂岩油田。勘探开发范围包括黑龙江松辽盆地北部、依舒等外围盆地、内蒙古海拉尔盆地、新疆塔东区块、四川重庆矿权流转区块等领域，海外在伊拉克、蒙古国有油气田开发区块。业务主要包括勘探开发、工程技术、工程建设、装备制造、油田化工、生产保障、职业教育培训等。</w:t>
      </w:r>
    </w:p>
    <w:p>
      <w:pPr>
        <w:tabs>
          <w:tab w:val="left" w:pos="3600"/>
        </w:tabs>
        <w:spacing w:line="560" w:lineRule="exact"/>
        <w:ind w:firstLine="624" w:firstLineChars="200"/>
        <w:rPr>
          <w:rFonts w:hint="eastAsia" w:ascii="方正仿宋简体" w:eastAsia="方正仿宋简体"/>
          <w:spacing w:val="-4"/>
          <w:sz w:val="32"/>
          <w:szCs w:val="32"/>
        </w:rPr>
      </w:pPr>
      <w:r>
        <w:rPr>
          <w:rFonts w:hint="eastAsia" w:ascii="方正仿宋简体" w:eastAsia="方正仿宋简体"/>
          <w:spacing w:val="-4"/>
          <w:sz w:val="32"/>
          <w:szCs w:val="32"/>
        </w:rPr>
        <w:t>油田开</w:t>
      </w:r>
      <w:r>
        <w:rPr>
          <w:rFonts w:hint="eastAsia" w:ascii="方正仿宋简体" w:eastAsia="方正仿宋简体"/>
          <w:spacing w:val="-4"/>
          <w:sz w:val="32"/>
          <w:szCs w:val="32"/>
          <w:highlight w:val="none"/>
        </w:rPr>
        <w:t>发建设60</w:t>
      </w:r>
      <w:r>
        <w:rPr>
          <w:rFonts w:hint="eastAsia" w:ascii="方正仿宋简体" w:eastAsia="方正仿宋简体"/>
          <w:spacing w:val="-4"/>
          <w:sz w:val="32"/>
          <w:szCs w:val="32"/>
          <w:highlight w:val="none"/>
          <w:lang w:eastAsia="zh-CN"/>
        </w:rPr>
        <w:t>多</w:t>
      </w:r>
      <w:r>
        <w:rPr>
          <w:rFonts w:hint="eastAsia" w:ascii="方正仿宋简体" w:eastAsia="方正仿宋简体"/>
          <w:spacing w:val="-4"/>
          <w:sz w:val="32"/>
          <w:szCs w:val="32"/>
          <w:highlight w:val="none"/>
        </w:rPr>
        <w:t>年来，累计生产原油24.</w:t>
      </w:r>
      <w:r>
        <w:rPr>
          <w:rFonts w:hint="eastAsia" w:ascii="方正仿宋简体" w:eastAsia="方正仿宋简体"/>
          <w:spacing w:val="-4"/>
          <w:sz w:val="32"/>
          <w:szCs w:val="32"/>
          <w:highlight w:val="none"/>
          <w:lang w:val="en-US" w:eastAsia="zh-CN"/>
        </w:rPr>
        <w:t>63</w:t>
      </w:r>
      <w:r>
        <w:rPr>
          <w:rFonts w:hint="eastAsia" w:ascii="方正仿宋简体" w:eastAsia="方正仿宋简体"/>
          <w:spacing w:val="-4"/>
          <w:sz w:val="32"/>
          <w:szCs w:val="32"/>
          <w:highlight w:val="none"/>
        </w:rPr>
        <w:t>亿吨，</w:t>
      </w:r>
      <w:r>
        <w:rPr>
          <w:rFonts w:hint="eastAsia" w:ascii="方正仿宋简体" w:eastAsia="方正仿宋简体"/>
          <w:spacing w:val="-4"/>
          <w:sz w:val="32"/>
          <w:szCs w:val="32"/>
          <w:highlight w:val="none"/>
          <w:lang w:eastAsia="zh-CN"/>
        </w:rPr>
        <w:t>天然气</w:t>
      </w:r>
      <w:r>
        <w:rPr>
          <w:rFonts w:hint="eastAsia" w:ascii="方正仿宋简体" w:eastAsia="方正仿宋简体"/>
          <w:spacing w:val="-4"/>
          <w:sz w:val="32"/>
          <w:szCs w:val="32"/>
          <w:highlight w:val="none"/>
          <w:lang w:val="en-US" w:eastAsia="zh-CN"/>
        </w:rPr>
        <w:t>1462.23亿立方米，</w:t>
      </w:r>
      <w:r>
        <w:rPr>
          <w:rFonts w:hint="eastAsia" w:ascii="方正仿宋简体" w:eastAsia="方正仿宋简体"/>
          <w:spacing w:val="-4"/>
          <w:sz w:val="32"/>
          <w:szCs w:val="32"/>
          <w:highlight w:val="none"/>
        </w:rPr>
        <w:t>上缴税费及各种资金2.9</w:t>
      </w:r>
      <w:r>
        <w:rPr>
          <w:rFonts w:hint="eastAsia" w:ascii="方正仿宋简体" w:eastAsia="方正仿宋简体"/>
          <w:spacing w:val="-4"/>
          <w:sz w:val="32"/>
          <w:szCs w:val="32"/>
          <w:highlight w:val="none"/>
          <w:lang w:val="en-US" w:eastAsia="zh-CN"/>
        </w:rPr>
        <w:t>3</w:t>
      </w:r>
      <w:r>
        <w:rPr>
          <w:rFonts w:hint="eastAsia" w:ascii="方正仿宋简体" w:eastAsia="方正仿宋简体"/>
          <w:spacing w:val="-4"/>
          <w:sz w:val="32"/>
          <w:szCs w:val="32"/>
          <w:highlight w:val="none"/>
        </w:rPr>
        <w:t>万亿元，实现年产原油5000万吨以上27年高产稳产，创造了领跑世界的陆相油田开发水平，孕育形成了大庆精神铁人精神，打造了过硬的铁人式职工队伍。2019年9月26日，</w:t>
      </w:r>
      <w:r>
        <w:rPr>
          <w:rFonts w:hint="eastAsia" w:ascii="方正仿宋简体" w:eastAsia="方正仿宋简体"/>
          <w:spacing w:val="-4"/>
          <w:sz w:val="32"/>
          <w:szCs w:val="32"/>
        </w:rPr>
        <w:t>大庆油田发现60周年之际，习近平总书记专门发来贺信，强调指出“大庆油田的卓越贡献已经镌刻在伟大祖国的历史丰碑上，大庆精神、铁人精神已经成为中华民族伟大精神的重要组成部分。”</w:t>
      </w:r>
    </w:p>
    <w:p>
      <w:pPr>
        <w:tabs>
          <w:tab w:val="left" w:pos="3600"/>
        </w:tabs>
        <w:spacing w:line="560" w:lineRule="exact"/>
        <w:ind w:firstLine="624" w:firstLineChars="200"/>
        <w:rPr>
          <w:rFonts w:hint="eastAsia" w:ascii="方正仿宋简体" w:eastAsia="方正仿宋简体"/>
          <w:spacing w:val="-4"/>
          <w:sz w:val="32"/>
          <w:szCs w:val="32"/>
        </w:rPr>
      </w:pPr>
      <w:r>
        <w:rPr>
          <w:rFonts w:hint="eastAsia" w:ascii="方正仿宋简体" w:eastAsia="方正仿宋简体"/>
          <w:spacing w:val="-4"/>
          <w:sz w:val="32"/>
          <w:szCs w:val="32"/>
        </w:rPr>
        <w:t>站在新的历史起点上，大庆油田将高举习近平新时代中国特色社会主义思想伟大旗帜，深入贯彻落实党的十九届</w:t>
      </w:r>
      <w:r>
        <w:rPr>
          <w:rFonts w:hint="eastAsia" w:ascii="方正仿宋简体" w:eastAsia="方正仿宋简体"/>
          <w:spacing w:val="-4"/>
          <w:sz w:val="32"/>
          <w:szCs w:val="32"/>
          <w:lang w:eastAsia="zh-CN"/>
        </w:rPr>
        <w:t>历次</w:t>
      </w:r>
      <w:r>
        <w:rPr>
          <w:rFonts w:hint="eastAsia" w:ascii="方正仿宋简体" w:eastAsia="方正仿宋简体"/>
          <w:spacing w:val="-4"/>
          <w:sz w:val="32"/>
          <w:szCs w:val="32"/>
        </w:rPr>
        <w:t>全会和总书记贺信等重要指示批示精神，全力抓好高质量原油稳产、弘扬严实作风、发展接续力量“三件大事”，奋力谱写发展、改革、科技、党建“四个新篇”，着力构建稳油增气、内外并举、多能互补、绿色发展新格局，肩负起当好标杆旗帜、建设百年油田的重大责任，为中国石油建设基业长青世界一流企业、为实现中华民族伟大复兴的中国梦作出新的更大的贡献！</w:t>
      </w:r>
    </w:p>
    <w:p>
      <w:pPr>
        <w:keepNext w:val="0"/>
        <w:keepLines w:val="0"/>
        <w:pageBreakBefore w:val="0"/>
        <w:widowControl/>
        <w:shd w:val="clear" w:color="auto" w:fill="FFFFFF"/>
        <w:kinsoku/>
        <w:wordWrap/>
        <w:overflowPunct/>
        <w:topLinePunct w:val="0"/>
        <w:autoSpaceDE/>
        <w:autoSpaceDN/>
        <w:bidi w:val="0"/>
        <w:adjustRightInd/>
        <w:snapToGrid/>
        <w:spacing w:before="157" w:beforeLines="50" w:after="156" w:afterLines="50" w:line="560" w:lineRule="exact"/>
        <w:ind w:firstLine="640" w:firstLineChars="200"/>
        <w:textAlignment w:val="auto"/>
        <w:outlineLvl w:val="9"/>
        <w:rPr>
          <w:rFonts w:ascii="方正小标宋简体" w:hAnsi="Arial" w:eastAsia="方正小标宋简体" w:cs="Arial"/>
          <w:kern w:val="0"/>
          <w:sz w:val="32"/>
          <w:szCs w:val="32"/>
        </w:rPr>
      </w:pPr>
      <w:r>
        <w:rPr>
          <w:rFonts w:hint="eastAsia" w:ascii="方正黑体简体" w:hAnsi="Arial" w:eastAsia="方正黑体简体" w:cs="Arial"/>
          <w:kern w:val="0"/>
          <w:sz w:val="32"/>
          <w:szCs w:val="32"/>
        </w:rPr>
        <w:t>二</w:t>
      </w:r>
      <w:r>
        <w:rPr>
          <w:rFonts w:ascii="方正黑体简体" w:hAnsi="Arial" w:eastAsia="方正黑体简体" w:cs="Arial"/>
          <w:kern w:val="0"/>
          <w:sz w:val="32"/>
          <w:szCs w:val="32"/>
        </w:rPr>
        <w:t>、</w:t>
      </w:r>
      <w:r>
        <w:rPr>
          <w:rFonts w:hint="eastAsia" w:ascii="方正黑体简体" w:hAnsi="Arial" w:eastAsia="方正黑体简体" w:cs="Arial"/>
          <w:kern w:val="0"/>
          <w:sz w:val="32"/>
          <w:szCs w:val="32"/>
        </w:rPr>
        <w:t>专业需求</w:t>
      </w:r>
    </w:p>
    <w:tbl>
      <w:tblPr>
        <w:tblStyle w:val="7"/>
        <w:tblW w:w="9634" w:type="dxa"/>
        <w:jc w:val="center"/>
        <w:tblInd w:w="0" w:type="dxa"/>
        <w:tblLayout w:type="fixed"/>
        <w:tblCellMar>
          <w:top w:w="0" w:type="dxa"/>
          <w:left w:w="108" w:type="dxa"/>
          <w:bottom w:w="0" w:type="dxa"/>
          <w:right w:w="108" w:type="dxa"/>
        </w:tblCellMar>
      </w:tblPr>
      <w:tblGrid>
        <w:gridCol w:w="580"/>
        <w:gridCol w:w="1546"/>
        <w:gridCol w:w="2547"/>
        <w:gridCol w:w="4310"/>
        <w:gridCol w:w="651"/>
      </w:tblGrid>
      <w:tr>
        <w:tblPrEx>
          <w:tblLayout w:type="fixed"/>
          <w:tblCellMar>
            <w:top w:w="0" w:type="dxa"/>
            <w:left w:w="108" w:type="dxa"/>
            <w:bottom w:w="0" w:type="dxa"/>
            <w:right w:w="108" w:type="dxa"/>
          </w:tblCellMar>
        </w:tblPrEx>
        <w:trPr>
          <w:trHeight w:val="285" w:hRule="atLeast"/>
          <w:tblHeader/>
          <w:jc w:val="center"/>
        </w:trPr>
        <w:tc>
          <w:tcPr>
            <w:tcW w:w="5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等线" w:hAnsi="等线" w:eastAsia="等线" w:cs="宋体"/>
                <w:b/>
                <w:bCs/>
                <w:color w:val="000000"/>
                <w:kern w:val="0"/>
                <w:sz w:val="20"/>
                <w:szCs w:val="20"/>
              </w:rPr>
            </w:pPr>
            <w:r>
              <w:rPr>
                <w:rFonts w:hint="eastAsia" w:ascii="等线" w:hAnsi="等线" w:eastAsia="等线" w:cs="宋体"/>
                <w:b/>
                <w:bCs/>
                <w:color w:val="000000"/>
                <w:kern w:val="0"/>
                <w:sz w:val="20"/>
                <w:szCs w:val="20"/>
              </w:rPr>
              <w:t>序号</w:t>
            </w:r>
          </w:p>
        </w:tc>
        <w:tc>
          <w:tcPr>
            <w:tcW w:w="154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等线" w:hAnsi="等线" w:eastAsia="等线" w:cs="宋体"/>
                <w:b/>
                <w:bCs/>
                <w:color w:val="000000"/>
                <w:kern w:val="0"/>
                <w:sz w:val="20"/>
                <w:szCs w:val="20"/>
              </w:rPr>
            </w:pPr>
            <w:r>
              <w:rPr>
                <w:rFonts w:hint="eastAsia" w:ascii="等线" w:hAnsi="等线" w:eastAsia="等线" w:cs="宋体"/>
                <w:b/>
                <w:bCs/>
                <w:color w:val="000000"/>
                <w:kern w:val="0"/>
                <w:sz w:val="20"/>
                <w:szCs w:val="20"/>
              </w:rPr>
              <w:t>岗位名称</w:t>
            </w:r>
          </w:p>
        </w:tc>
        <w:tc>
          <w:tcPr>
            <w:tcW w:w="254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等线" w:hAnsi="等线" w:eastAsia="等线" w:cs="宋体"/>
                <w:b/>
                <w:bCs/>
                <w:color w:val="000000"/>
                <w:kern w:val="0"/>
                <w:sz w:val="20"/>
                <w:szCs w:val="20"/>
              </w:rPr>
            </w:pPr>
            <w:r>
              <w:rPr>
                <w:rFonts w:hint="eastAsia" w:ascii="等线" w:hAnsi="等线" w:eastAsia="等线" w:cs="宋体"/>
                <w:b/>
                <w:bCs/>
                <w:color w:val="000000"/>
                <w:kern w:val="0"/>
                <w:sz w:val="20"/>
                <w:szCs w:val="20"/>
              </w:rPr>
              <w:t>学历要求</w:t>
            </w:r>
          </w:p>
        </w:tc>
        <w:tc>
          <w:tcPr>
            <w:tcW w:w="431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等线" w:hAnsi="等线" w:eastAsia="等线" w:cs="宋体"/>
                <w:b/>
                <w:bCs/>
                <w:color w:val="000000"/>
                <w:kern w:val="0"/>
                <w:sz w:val="20"/>
                <w:szCs w:val="20"/>
              </w:rPr>
            </w:pPr>
            <w:r>
              <w:rPr>
                <w:rFonts w:hint="eastAsia" w:ascii="等线" w:hAnsi="等线" w:eastAsia="等线" w:cs="宋体"/>
                <w:b/>
                <w:bCs/>
                <w:color w:val="000000"/>
                <w:kern w:val="0"/>
                <w:sz w:val="20"/>
                <w:szCs w:val="20"/>
              </w:rPr>
              <w:t>所需专业</w:t>
            </w:r>
          </w:p>
        </w:tc>
        <w:tc>
          <w:tcPr>
            <w:tcW w:w="65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等线" w:hAnsi="等线" w:eastAsia="等线" w:cs="宋体"/>
                <w:b/>
                <w:bCs/>
                <w:color w:val="000000"/>
                <w:kern w:val="0"/>
                <w:sz w:val="20"/>
                <w:szCs w:val="20"/>
              </w:rPr>
            </w:pPr>
            <w:r>
              <w:rPr>
                <w:rFonts w:hint="eastAsia" w:ascii="等线" w:hAnsi="等线" w:eastAsia="等线" w:cs="宋体"/>
                <w:b/>
                <w:bCs/>
                <w:color w:val="000000"/>
                <w:kern w:val="0"/>
                <w:sz w:val="20"/>
                <w:szCs w:val="20"/>
              </w:rPr>
              <w:t>人数</w:t>
            </w:r>
          </w:p>
        </w:tc>
      </w:tr>
      <w:tr>
        <w:tblPrEx>
          <w:tblLayout w:type="fixed"/>
          <w:tblCellMar>
            <w:top w:w="0" w:type="dxa"/>
            <w:left w:w="108" w:type="dxa"/>
            <w:bottom w:w="0" w:type="dxa"/>
            <w:right w:w="108" w:type="dxa"/>
          </w:tblCellMar>
        </w:tblPrEx>
        <w:trPr>
          <w:trHeight w:val="1208"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1</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石油工程</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石油工程，</w:t>
            </w:r>
            <w:r>
              <w:rPr>
                <w:rFonts w:hint="eastAsia" w:ascii="方正仿宋简体" w:hAnsi="方正仿宋简体" w:eastAsia="方正仿宋简体" w:cs="方正仿宋简体"/>
                <w:i w:val="0"/>
                <w:color w:val="000000"/>
                <w:kern w:val="0"/>
                <w:sz w:val="22"/>
                <w:szCs w:val="22"/>
                <w:u w:val="none"/>
                <w:lang w:val="en-US" w:eastAsia="zh-CN" w:bidi="ar"/>
              </w:rPr>
              <w:t>油气田开发工程，油气井工程，石油与天然气工程（油气田开发方向、油气井工程方向），海洋油气工程</w:t>
            </w:r>
          </w:p>
        </w:tc>
        <w:tc>
          <w:tcPr>
            <w:tcW w:w="65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95</w:t>
            </w:r>
          </w:p>
        </w:tc>
      </w:tr>
      <w:tr>
        <w:tblPrEx>
          <w:tblLayout w:type="fixed"/>
          <w:tblCellMar>
            <w:top w:w="0" w:type="dxa"/>
            <w:left w:w="108" w:type="dxa"/>
            <w:bottom w:w="0" w:type="dxa"/>
            <w:right w:w="108" w:type="dxa"/>
          </w:tblCellMar>
        </w:tblPrEx>
        <w:trPr>
          <w:trHeight w:val="85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2</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油气储运</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油气储运工程，</w:t>
            </w:r>
            <w:r>
              <w:rPr>
                <w:rFonts w:hint="eastAsia" w:ascii="方正仿宋简体" w:hAnsi="方正仿宋简体" w:eastAsia="方正仿宋简体" w:cs="方正仿宋简体"/>
                <w:i w:val="0"/>
                <w:color w:val="000000"/>
                <w:kern w:val="0"/>
                <w:sz w:val="22"/>
                <w:szCs w:val="22"/>
                <w:u w:val="none"/>
                <w:lang w:val="en-US" w:eastAsia="zh-CN" w:bidi="ar"/>
              </w:rPr>
              <w:t>石油与天然气工程（油气储运方向）</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rPr>
            </w:pPr>
            <w:r>
              <w:rPr>
                <w:rFonts w:hint="eastAsia" w:ascii="等线" w:hAnsi="等线" w:eastAsia="等线" w:cs="等线"/>
                <w:i w:val="0"/>
                <w:color w:val="000000"/>
                <w:kern w:val="0"/>
                <w:sz w:val="20"/>
                <w:szCs w:val="20"/>
                <w:u w:val="none"/>
                <w:lang w:val="en-US" w:eastAsia="zh-CN" w:bidi="ar"/>
              </w:rPr>
              <w:t>15</w:t>
            </w:r>
          </w:p>
        </w:tc>
      </w:tr>
      <w:tr>
        <w:tblPrEx>
          <w:tblLayout w:type="fixed"/>
          <w:tblCellMar>
            <w:top w:w="0" w:type="dxa"/>
            <w:left w:w="108" w:type="dxa"/>
            <w:bottom w:w="0" w:type="dxa"/>
            <w:right w:w="108" w:type="dxa"/>
          </w:tblCellMar>
        </w:tblPrEx>
        <w:trPr>
          <w:trHeight w:val="162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3</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地质勘探</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资源勘查工程，</w:t>
            </w:r>
            <w:r>
              <w:rPr>
                <w:rFonts w:hint="eastAsia" w:ascii="方正仿宋简体" w:hAnsi="方正仿宋简体" w:eastAsia="方正仿宋简体" w:cs="方正仿宋简体"/>
                <w:i w:val="0"/>
                <w:color w:val="000000"/>
                <w:kern w:val="0"/>
                <w:sz w:val="22"/>
                <w:szCs w:val="22"/>
                <w:u w:val="none"/>
                <w:lang w:val="en-US" w:eastAsia="zh-CN" w:bidi="ar"/>
              </w:rPr>
              <w:t>地质工程，矿产普查与勘探，地质资源与地质工程，地质学，地球化学，矿物学、岩石学、矿床学，构造地质学，勘查技术与工程，地球探测与信息技术，地球物理学，固体地球物理学，物理学</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75</w:t>
            </w:r>
          </w:p>
        </w:tc>
      </w:tr>
      <w:tr>
        <w:tblPrEx>
          <w:tblLayout w:type="fixed"/>
          <w:tblCellMar>
            <w:top w:w="0" w:type="dxa"/>
            <w:left w:w="108" w:type="dxa"/>
            <w:bottom w:w="0" w:type="dxa"/>
            <w:right w:w="108" w:type="dxa"/>
          </w:tblCellMar>
        </w:tblPrEx>
        <w:trPr>
          <w:trHeight w:val="1757"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4</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油气田开发</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lang w:eastAsia="zh-CN"/>
              </w:rPr>
              <w:t>硕士研究生</w:t>
            </w:r>
            <w:r>
              <w:rPr>
                <w:rFonts w:hint="eastAsia" w:ascii="方正仿宋简体" w:hAnsi="等线" w:eastAsia="方正仿宋简体" w:cs="宋体"/>
                <w:color w:val="000000"/>
                <w:kern w:val="0"/>
                <w:sz w:val="22"/>
              </w:rPr>
              <w:t>及以上</w:t>
            </w:r>
          </w:p>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（博士研究生，一流大学建设高校硕士研究生、一流学科建设高校建设学科的硕士研究生）</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石油与天然气工程，</w:t>
            </w:r>
            <w:r>
              <w:rPr>
                <w:rFonts w:hint="eastAsia" w:ascii="方正仿宋简体" w:hAnsi="方正仿宋简体" w:eastAsia="方正仿宋简体" w:cs="方正仿宋简体"/>
                <w:i w:val="0"/>
                <w:color w:val="000000"/>
                <w:kern w:val="0"/>
                <w:sz w:val="22"/>
                <w:szCs w:val="22"/>
                <w:u w:val="none"/>
                <w:lang w:val="en-US" w:eastAsia="zh-CN" w:bidi="ar"/>
              </w:rPr>
              <w:t>油气田开发工程</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10</w:t>
            </w:r>
          </w:p>
        </w:tc>
      </w:tr>
      <w:tr>
        <w:tblPrEx>
          <w:tblLayout w:type="fixed"/>
          <w:tblCellMar>
            <w:top w:w="0" w:type="dxa"/>
            <w:left w:w="108" w:type="dxa"/>
            <w:bottom w:w="0" w:type="dxa"/>
            <w:right w:w="108" w:type="dxa"/>
          </w:tblCellMar>
        </w:tblPrEx>
        <w:trPr>
          <w:trHeight w:val="1757"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5</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地质勘探工程</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lang w:eastAsia="zh-CN"/>
              </w:rPr>
              <w:t>硕士研究生</w:t>
            </w:r>
            <w:r>
              <w:rPr>
                <w:rFonts w:hint="eastAsia" w:ascii="方正仿宋简体" w:hAnsi="等线" w:eastAsia="方正仿宋简体" w:cs="宋体"/>
                <w:color w:val="000000"/>
                <w:kern w:val="0"/>
                <w:sz w:val="22"/>
              </w:rPr>
              <w:t>及以上</w:t>
            </w:r>
          </w:p>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（博士研究生，一流大学建设高校硕士研究生、一流学科建设高校建设学科的硕士研究生）</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矿产普查与勘探，</w:t>
            </w:r>
            <w:r>
              <w:rPr>
                <w:rFonts w:hint="eastAsia" w:ascii="方正仿宋简体" w:hAnsi="方正仿宋简体" w:eastAsia="方正仿宋简体" w:cs="方正仿宋简体"/>
                <w:i w:val="0"/>
                <w:color w:val="000000"/>
                <w:kern w:val="0"/>
                <w:sz w:val="22"/>
                <w:szCs w:val="22"/>
                <w:u w:val="none"/>
                <w:lang w:val="en-US" w:eastAsia="zh-CN" w:bidi="ar"/>
              </w:rPr>
              <w:t>地质工程，地质资源与地质工程，地球化学，矿物学、岩石学、矿床学，古生物学与地层学，构造地质学</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sz w:val="22"/>
                <w:szCs w:val="22"/>
              </w:rPr>
            </w:pPr>
            <w:r>
              <w:rPr>
                <w:rFonts w:hint="eastAsia" w:ascii="等线" w:hAnsi="等线" w:eastAsia="等线" w:cs="等线"/>
                <w:i w:val="0"/>
                <w:color w:val="000000"/>
                <w:kern w:val="0"/>
                <w:sz w:val="20"/>
                <w:szCs w:val="20"/>
                <w:u w:val="none"/>
                <w:lang w:val="en-US" w:eastAsia="zh-CN" w:bidi="ar"/>
              </w:rPr>
              <w:t>20</w:t>
            </w:r>
          </w:p>
        </w:tc>
      </w:tr>
      <w:tr>
        <w:tblPrEx>
          <w:tblLayout w:type="fixed"/>
          <w:tblCellMar>
            <w:top w:w="0" w:type="dxa"/>
            <w:left w:w="108" w:type="dxa"/>
            <w:bottom w:w="0" w:type="dxa"/>
            <w:right w:w="108" w:type="dxa"/>
          </w:tblCellMar>
        </w:tblPrEx>
        <w:trPr>
          <w:trHeight w:val="1757"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6</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物探</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lang w:eastAsia="zh-CN"/>
              </w:rPr>
              <w:t>硕士研究生</w:t>
            </w:r>
            <w:r>
              <w:rPr>
                <w:rFonts w:hint="eastAsia" w:ascii="方正仿宋简体" w:hAnsi="等线" w:eastAsia="方正仿宋简体" w:cs="宋体"/>
                <w:color w:val="000000"/>
                <w:kern w:val="0"/>
                <w:sz w:val="22"/>
              </w:rPr>
              <w:t>及以上</w:t>
            </w:r>
          </w:p>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（博士研究生，一流大学建设高校硕士研究生、一流学科建设高校建设学科的硕士研究生）</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地球探测与信息技术（物探方向），</w:t>
            </w:r>
            <w:r>
              <w:rPr>
                <w:rFonts w:hint="eastAsia" w:ascii="方正仿宋简体" w:hAnsi="方正仿宋简体" w:eastAsia="方正仿宋简体" w:cs="方正仿宋简体"/>
                <w:i w:val="0"/>
                <w:color w:val="000000"/>
                <w:kern w:val="0"/>
                <w:sz w:val="22"/>
                <w:szCs w:val="22"/>
                <w:u w:val="none"/>
                <w:lang w:val="en-US" w:eastAsia="zh-CN" w:bidi="ar"/>
              </w:rPr>
              <w:t>地球物理学（物探方向），固体地球物理学（物探方向）</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15</w:t>
            </w:r>
          </w:p>
        </w:tc>
      </w:tr>
      <w:tr>
        <w:tblPrEx>
          <w:tblLayout w:type="fixed"/>
          <w:tblCellMar>
            <w:top w:w="0" w:type="dxa"/>
            <w:left w:w="108" w:type="dxa"/>
            <w:bottom w:w="0" w:type="dxa"/>
            <w:right w:w="108" w:type="dxa"/>
          </w:tblCellMar>
        </w:tblPrEx>
        <w:trPr>
          <w:trHeight w:val="1757"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color w:val="000000"/>
                <w:kern w:val="0"/>
                <w:sz w:val="22"/>
                <w:szCs w:val="22"/>
              </w:rPr>
              <w:t>7</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测井</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lang w:eastAsia="zh-CN"/>
              </w:rPr>
              <w:t>硕士研究生</w:t>
            </w:r>
            <w:r>
              <w:rPr>
                <w:rFonts w:hint="eastAsia" w:ascii="方正仿宋简体" w:hAnsi="等线" w:eastAsia="方正仿宋简体" w:cs="宋体"/>
                <w:color w:val="000000"/>
                <w:kern w:val="0"/>
                <w:sz w:val="22"/>
              </w:rPr>
              <w:t>及以上</w:t>
            </w:r>
          </w:p>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（博士研究生，一流大学建设高校硕士研究生、一流学科建设高校建设学科的硕士研究生）</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地球探测与信息技术（测井方向），</w:t>
            </w:r>
            <w:r>
              <w:rPr>
                <w:rFonts w:hint="eastAsia" w:ascii="方正仿宋简体" w:hAnsi="方正仿宋简体" w:eastAsia="方正仿宋简体" w:cs="方正仿宋简体"/>
                <w:i w:val="0"/>
                <w:color w:val="000000"/>
                <w:kern w:val="0"/>
                <w:sz w:val="22"/>
                <w:szCs w:val="22"/>
                <w:u w:val="none"/>
                <w:lang w:val="en-US" w:eastAsia="zh-CN" w:bidi="ar"/>
              </w:rPr>
              <w:t>地球物理学（测井方向），固体地球物理学（测井方向）</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sz w:val="22"/>
                <w:szCs w:val="22"/>
              </w:rPr>
            </w:pPr>
            <w:r>
              <w:rPr>
                <w:rFonts w:hint="eastAsia" w:ascii="等线" w:hAnsi="等线" w:eastAsia="等线" w:cs="等线"/>
                <w:i w:val="0"/>
                <w:color w:val="000000"/>
                <w:kern w:val="0"/>
                <w:sz w:val="20"/>
                <w:szCs w:val="20"/>
                <w:u w:val="none"/>
                <w:lang w:val="en-US" w:eastAsia="zh-CN" w:bidi="ar"/>
              </w:rPr>
              <w:t>5</w:t>
            </w:r>
          </w:p>
        </w:tc>
      </w:tr>
      <w:tr>
        <w:tblPrEx>
          <w:tblLayout w:type="fixed"/>
          <w:tblCellMar>
            <w:top w:w="0" w:type="dxa"/>
            <w:left w:w="108" w:type="dxa"/>
            <w:bottom w:w="0" w:type="dxa"/>
            <w:right w:w="108" w:type="dxa"/>
          </w:tblCellMar>
        </w:tblPrEx>
        <w:trPr>
          <w:trHeight w:val="294"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8</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i w:val="0"/>
                <w:color w:val="000000"/>
                <w:kern w:val="0"/>
                <w:sz w:val="22"/>
                <w:szCs w:val="22"/>
                <w:u w:val="none"/>
                <w:lang w:val="en-US" w:eastAsia="zh-CN" w:bidi="ar"/>
              </w:rPr>
              <w:t>新能源</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新能源科学与工程（清洁能源方向），</w:t>
            </w:r>
            <w:r>
              <w:rPr>
                <w:rFonts w:hint="eastAsia" w:ascii="方正仿宋简体" w:hAnsi="方正仿宋简体" w:eastAsia="方正仿宋简体" w:cs="方正仿宋简体"/>
                <w:i w:val="0"/>
                <w:color w:val="000000"/>
                <w:kern w:val="0"/>
                <w:sz w:val="22"/>
                <w:szCs w:val="22"/>
                <w:u w:val="none"/>
                <w:lang w:val="en-US" w:eastAsia="zh-CN" w:bidi="ar"/>
              </w:rPr>
              <w:t>电气工程及其自动化，电气工程，电力系统及其自动化，电气工程与智能控制，电机电器智能化</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16</w:t>
            </w:r>
          </w:p>
        </w:tc>
      </w:tr>
      <w:tr>
        <w:tblPrEx>
          <w:tblLayout w:type="fixed"/>
          <w:tblCellMar>
            <w:top w:w="0" w:type="dxa"/>
            <w:left w:w="108" w:type="dxa"/>
            <w:bottom w:w="0" w:type="dxa"/>
            <w:right w:w="108" w:type="dxa"/>
          </w:tblCellMar>
        </w:tblPrEx>
        <w:trPr>
          <w:trHeight w:val="1044"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lang w:eastAsia="zh-CN"/>
              </w:rPr>
            </w:pPr>
            <w:r>
              <w:rPr>
                <w:rFonts w:hint="eastAsia" w:ascii="方正仿宋简体" w:hAnsi="方正仿宋简体" w:eastAsia="方正仿宋简体" w:cs="方正仿宋简体"/>
                <w:color w:val="000000"/>
                <w:kern w:val="0"/>
                <w:sz w:val="22"/>
                <w:szCs w:val="22"/>
                <w:lang w:val="en-US" w:eastAsia="zh-CN"/>
              </w:rPr>
              <w:t>9</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石油化工</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化学工程与工艺，</w:t>
            </w:r>
            <w:r>
              <w:rPr>
                <w:rFonts w:hint="eastAsia" w:ascii="方正仿宋简体" w:hAnsi="方正仿宋简体" w:eastAsia="方正仿宋简体" w:cs="方正仿宋简体"/>
                <w:i w:val="0"/>
                <w:color w:val="000000"/>
                <w:kern w:val="0"/>
                <w:sz w:val="22"/>
                <w:szCs w:val="22"/>
                <w:u w:val="none"/>
                <w:lang w:val="en-US" w:eastAsia="zh-CN" w:bidi="ar"/>
              </w:rPr>
              <w:t>能源化学工程，化学工程，化学工艺，化学工程与技术，化学，无机化学，分析化学，有机化学，应用化学</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15</w:t>
            </w:r>
          </w:p>
        </w:tc>
      </w:tr>
      <w:tr>
        <w:tblPrEx>
          <w:tblLayout w:type="fixed"/>
          <w:tblCellMar>
            <w:top w:w="0" w:type="dxa"/>
            <w:left w:w="108" w:type="dxa"/>
            <w:bottom w:w="0" w:type="dxa"/>
            <w:right w:w="108" w:type="dxa"/>
          </w:tblCellMar>
        </w:tblPrEx>
        <w:trPr>
          <w:trHeight w:val="258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10</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信息化运维</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计算机科学与技术，</w:t>
            </w:r>
            <w:r>
              <w:rPr>
                <w:rFonts w:hint="eastAsia" w:ascii="方正仿宋简体" w:hAnsi="方正仿宋简体" w:eastAsia="方正仿宋简体" w:cs="方正仿宋简体"/>
                <w:i w:val="0"/>
                <w:color w:val="000000"/>
                <w:kern w:val="0"/>
                <w:sz w:val="22"/>
                <w:szCs w:val="22"/>
                <w:u w:val="none"/>
                <w:lang w:val="en-US" w:eastAsia="zh-CN" w:bidi="ar"/>
              </w:rPr>
              <w:t>软件工程，网络工程，信息安全，物联网工程，计算机系统结构，计算机软件与理论，计算机应用技术，数据科学与大数据技术，电子信息工程，电子科学与技术，通信工程，信息工程，控制理论与控制工程，检测技术与自动化装置，信息与通信工程，自动化，数学与应用数学，信息与计算科学，应用数学</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50</w:t>
            </w:r>
          </w:p>
        </w:tc>
      </w:tr>
      <w:tr>
        <w:tblPrEx>
          <w:tblLayout w:type="fixed"/>
          <w:tblCellMar>
            <w:top w:w="0" w:type="dxa"/>
            <w:left w:w="108" w:type="dxa"/>
            <w:bottom w:w="0" w:type="dxa"/>
            <w:right w:w="108" w:type="dxa"/>
          </w:tblCellMar>
        </w:tblPrEx>
        <w:trPr>
          <w:trHeight w:val="85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11</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lang w:eastAsia="zh-CN"/>
              </w:rPr>
            </w:pPr>
            <w:r>
              <w:rPr>
                <w:rFonts w:hint="eastAsia" w:ascii="方正仿宋简体" w:hAnsi="方正仿宋简体" w:eastAsia="方正仿宋简体" w:cs="方正仿宋简体"/>
                <w:i w:val="0"/>
                <w:color w:val="000000"/>
                <w:kern w:val="0"/>
                <w:sz w:val="22"/>
                <w:szCs w:val="22"/>
                <w:u w:val="none"/>
                <w:lang w:val="en-US" w:eastAsia="zh-CN" w:bidi="ar"/>
              </w:rPr>
              <w:t>电气工程</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b/>
                <w:bCs/>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电气工程及其自动化，</w:t>
            </w:r>
            <w:r>
              <w:rPr>
                <w:rFonts w:hint="eastAsia" w:ascii="方正仿宋简体" w:hAnsi="方正仿宋简体" w:eastAsia="方正仿宋简体" w:cs="方正仿宋简体"/>
                <w:i w:val="0"/>
                <w:color w:val="000000"/>
                <w:kern w:val="0"/>
                <w:sz w:val="22"/>
                <w:szCs w:val="22"/>
                <w:u w:val="none"/>
                <w:lang w:val="en-US" w:eastAsia="zh-CN" w:bidi="ar"/>
              </w:rPr>
              <w:t>电气工程与智能控制，电机电器智能化，电气工程</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25</w:t>
            </w:r>
          </w:p>
        </w:tc>
      </w:tr>
      <w:tr>
        <w:tblPrEx>
          <w:tblLayout w:type="fixed"/>
          <w:tblCellMar>
            <w:top w:w="0" w:type="dxa"/>
            <w:left w:w="108" w:type="dxa"/>
            <w:bottom w:w="0" w:type="dxa"/>
            <w:right w:w="108" w:type="dxa"/>
          </w:tblCellMar>
        </w:tblPrEx>
        <w:trPr>
          <w:trHeight w:val="1872"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方正仿宋简体" w:hAnsi="方正仿宋简体" w:eastAsia="方正仿宋简体" w:cs="方正仿宋简体"/>
                <w:color w:val="000000"/>
                <w:kern w:val="0"/>
                <w:sz w:val="22"/>
                <w:szCs w:val="22"/>
                <w:lang w:eastAsia="zh-CN"/>
              </w:rPr>
            </w:pPr>
            <w:r>
              <w:rPr>
                <w:rFonts w:hint="eastAsia" w:ascii="方正仿宋简体" w:hAnsi="方正仿宋简体" w:eastAsia="方正仿宋简体" w:cs="方正仿宋简体"/>
                <w:color w:val="000000"/>
                <w:kern w:val="0"/>
                <w:sz w:val="22"/>
                <w:szCs w:val="22"/>
                <w:lang w:val="en-US" w:eastAsia="zh-CN"/>
              </w:rPr>
              <w:t>12</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机械</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机械工程，</w:t>
            </w:r>
            <w:r>
              <w:rPr>
                <w:rFonts w:hint="eastAsia" w:ascii="方正仿宋简体" w:hAnsi="方正仿宋简体" w:eastAsia="方正仿宋简体" w:cs="方正仿宋简体"/>
                <w:i w:val="0"/>
                <w:color w:val="000000"/>
                <w:kern w:val="0"/>
                <w:sz w:val="22"/>
                <w:szCs w:val="22"/>
                <w:u w:val="none"/>
                <w:lang w:val="en-US" w:eastAsia="zh-CN" w:bidi="ar"/>
              </w:rPr>
              <w:t>机械设计制造及其自动化，材料成型及控制工程，机械电子工程，机械设计及理论，过程装备与控制工程，力学，工程力学，固体力学，流体力学，测控技术与仪器，测试计量技术及仪器</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30</w:t>
            </w:r>
          </w:p>
        </w:tc>
      </w:tr>
      <w:tr>
        <w:tblPrEx>
          <w:tblLayout w:type="fixed"/>
          <w:tblCellMar>
            <w:top w:w="0" w:type="dxa"/>
            <w:left w:w="108" w:type="dxa"/>
            <w:bottom w:w="0" w:type="dxa"/>
            <w:right w:w="108" w:type="dxa"/>
          </w:tblCellMar>
        </w:tblPrEx>
        <w:trPr>
          <w:trHeight w:val="1608"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13</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土木工程建筑施工</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土木工程，</w:t>
            </w:r>
            <w:r>
              <w:rPr>
                <w:rFonts w:hint="eastAsia" w:ascii="方正仿宋简体" w:hAnsi="方正仿宋简体" w:eastAsia="方正仿宋简体" w:cs="方正仿宋简体"/>
                <w:i w:val="0"/>
                <w:color w:val="000000"/>
                <w:kern w:val="0"/>
                <w:sz w:val="22"/>
                <w:szCs w:val="22"/>
                <w:u w:val="none"/>
                <w:lang w:val="en-US" w:eastAsia="zh-CN" w:bidi="ar"/>
              </w:rPr>
              <w:t>安全工程，测绘工程，大地测量学与测量工程，地图制图学与地理信息工程，建筑环境与能源应用工程，给排水科学与工程，岩土工程，市政工程，供热、供燃气、通风及空调工程</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25</w:t>
            </w:r>
          </w:p>
        </w:tc>
      </w:tr>
      <w:tr>
        <w:tblPrEx>
          <w:tblLayout w:type="fixed"/>
          <w:tblCellMar>
            <w:top w:w="0" w:type="dxa"/>
            <w:left w:w="108" w:type="dxa"/>
            <w:bottom w:w="0" w:type="dxa"/>
            <w:right w:w="108" w:type="dxa"/>
          </w:tblCellMar>
        </w:tblPrEx>
        <w:trPr>
          <w:trHeight w:val="85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14</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财务资产</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会计学，</w:t>
            </w:r>
            <w:r>
              <w:rPr>
                <w:rFonts w:hint="eastAsia" w:ascii="方正仿宋简体" w:hAnsi="方正仿宋简体" w:eastAsia="方正仿宋简体" w:cs="方正仿宋简体"/>
                <w:i w:val="0"/>
                <w:color w:val="000000"/>
                <w:kern w:val="0"/>
                <w:sz w:val="22"/>
                <w:szCs w:val="22"/>
                <w:u w:val="none"/>
                <w:lang w:val="en-US" w:eastAsia="zh-CN" w:bidi="ar"/>
              </w:rPr>
              <w:t>财务管理，财政学，税收学，投资学</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sz w:val="22"/>
                <w:szCs w:val="22"/>
              </w:rPr>
            </w:pPr>
            <w:r>
              <w:rPr>
                <w:rFonts w:hint="eastAsia" w:ascii="等线" w:hAnsi="等线" w:eastAsia="等线" w:cs="等线"/>
                <w:i w:val="0"/>
                <w:color w:val="000000"/>
                <w:kern w:val="0"/>
                <w:sz w:val="20"/>
                <w:szCs w:val="20"/>
                <w:u w:val="none"/>
                <w:lang w:val="en-US" w:eastAsia="zh-CN" w:bidi="ar"/>
              </w:rPr>
              <w:t>5</w:t>
            </w:r>
          </w:p>
        </w:tc>
      </w:tr>
      <w:tr>
        <w:tblPrEx>
          <w:tblLayout w:type="fixed"/>
          <w:tblCellMar>
            <w:top w:w="0" w:type="dxa"/>
            <w:left w:w="108" w:type="dxa"/>
            <w:bottom w:w="0" w:type="dxa"/>
            <w:right w:w="108" w:type="dxa"/>
          </w:tblCellMar>
        </w:tblPrEx>
        <w:trPr>
          <w:trHeight w:val="672"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15</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lang w:eastAsia="zh-CN"/>
              </w:rPr>
            </w:pPr>
            <w:r>
              <w:rPr>
                <w:rFonts w:hint="eastAsia" w:ascii="方正仿宋简体" w:hAnsi="方正仿宋简体" w:eastAsia="方正仿宋简体" w:cs="方正仿宋简体"/>
                <w:i w:val="0"/>
                <w:color w:val="000000"/>
                <w:kern w:val="0"/>
                <w:sz w:val="22"/>
                <w:szCs w:val="22"/>
                <w:u w:val="none"/>
                <w:lang w:val="en-US" w:eastAsia="zh-CN" w:bidi="ar"/>
              </w:rPr>
              <w:t>审计</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审计学，</w:t>
            </w:r>
            <w:r>
              <w:rPr>
                <w:rFonts w:hint="eastAsia" w:ascii="方正仿宋简体" w:hAnsi="方正仿宋简体" w:eastAsia="方正仿宋简体" w:cs="方正仿宋简体"/>
                <w:i w:val="0"/>
                <w:color w:val="000000"/>
                <w:kern w:val="0"/>
                <w:sz w:val="22"/>
                <w:szCs w:val="22"/>
                <w:u w:val="none"/>
                <w:lang w:val="en-US" w:eastAsia="zh-CN" w:bidi="ar"/>
              </w:rPr>
              <w:t>工程审计，会计与审计</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5</w:t>
            </w:r>
          </w:p>
        </w:tc>
      </w:tr>
      <w:tr>
        <w:tblPrEx>
          <w:tblLayout w:type="fixed"/>
          <w:tblCellMar>
            <w:top w:w="0" w:type="dxa"/>
            <w:left w:w="108" w:type="dxa"/>
            <w:bottom w:w="0" w:type="dxa"/>
            <w:right w:w="108" w:type="dxa"/>
          </w:tblCellMar>
        </w:tblPrEx>
        <w:trPr>
          <w:trHeight w:val="1588"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16</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综合行政</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lang w:eastAsia="zh-CN"/>
              </w:rPr>
            </w:pPr>
            <w:r>
              <w:rPr>
                <w:rFonts w:hint="eastAsia" w:ascii="方正仿宋简体" w:hAnsi="等线" w:eastAsia="方正仿宋简体" w:cs="宋体"/>
                <w:color w:val="000000"/>
                <w:kern w:val="0"/>
                <w:sz w:val="22"/>
                <w:lang w:eastAsia="zh-CN"/>
              </w:rPr>
              <w:t>大学本科及以上</w:t>
            </w:r>
          </w:p>
          <w:p>
            <w:pPr>
              <w:widowControl/>
              <w:spacing w:line="300" w:lineRule="exact"/>
              <w:jc w:val="center"/>
              <w:rPr>
                <w:rFonts w:hint="eastAsia" w:ascii="方正仿宋简体" w:hAnsi="等线" w:eastAsia="方正仿宋简体" w:cs="宋体"/>
                <w:color w:val="000000"/>
                <w:kern w:val="0"/>
                <w:sz w:val="22"/>
                <w:lang w:eastAsia="zh-CN"/>
              </w:rPr>
            </w:pPr>
            <w:r>
              <w:rPr>
                <w:rFonts w:hint="eastAsia" w:ascii="方正仿宋简体" w:hAnsi="等线" w:eastAsia="方正仿宋简体" w:cs="宋体"/>
                <w:color w:val="000000"/>
                <w:kern w:val="0"/>
                <w:sz w:val="22"/>
                <w:lang w:eastAsia="zh-CN"/>
              </w:rPr>
              <w:t>（国内“双一流”大学大学本科及以上毕业生，泰晤士世界排名前200名国外高校硕士研究生）</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法学，</w:t>
            </w:r>
            <w:r>
              <w:rPr>
                <w:rFonts w:hint="eastAsia" w:ascii="方正仿宋简体" w:hAnsi="方正仿宋简体" w:eastAsia="方正仿宋简体" w:cs="方正仿宋简体"/>
                <w:i w:val="0"/>
                <w:color w:val="000000"/>
                <w:kern w:val="0"/>
                <w:sz w:val="22"/>
                <w:szCs w:val="22"/>
                <w:u w:val="none"/>
                <w:lang w:val="en-US" w:eastAsia="zh-CN" w:bidi="ar"/>
              </w:rPr>
              <w:t>哲学，马克思主义哲学，汉语言文学，新闻学，国际法学，政治学与行政学，行政管理，工商管理，国际商务</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10</w:t>
            </w:r>
          </w:p>
        </w:tc>
      </w:tr>
      <w:tr>
        <w:tblPrEx>
          <w:tblLayout w:type="fixed"/>
          <w:tblCellMar>
            <w:top w:w="0" w:type="dxa"/>
            <w:left w:w="108" w:type="dxa"/>
            <w:bottom w:w="0" w:type="dxa"/>
            <w:right w:w="108" w:type="dxa"/>
          </w:tblCellMar>
        </w:tblPrEx>
        <w:trPr>
          <w:trHeight w:val="189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17</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钻井工程</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石油工程，</w:t>
            </w:r>
            <w:r>
              <w:rPr>
                <w:rFonts w:hint="eastAsia" w:ascii="方正仿宋简体" w:hAnsi="方正仿宋简体" w:eastAsia="方正仿宋简体" w:cs="方正仿宋简体"/>
                <w:i w:val="0"/>
                <w:color w:val="000000"/>
                <w:kern w:val="0"/>
                <w:sz w:val="22"/>
                <w:szCs w:val="22"/>
                <w:u w:val="none"/>
                <w:lang w:val="en-US" w:eastAsia="zh-CN" w:bidi="ar"/>
              </w:rPr>
              <w:t>海洋油气工程，油气井工程，地质工程，地质学，勘查技术与工程，资源勘查工程，应用化学，机械工程，机械设计制造及其自动化，机械电子工程，自动化，测控技术与仪器，电气工程及其自动化，电子信息工程，计算机科学与技术</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25</w:t>
            </w:r>
          </w:p>
        </w:tc>
      </w:tr>
      <w:tr>
        <w:tblPrEx>
          <w:tblLayout w:type="fixed"/>
          <w:tblCellMar>
            <w:top w:w="0" w:type="dxa"/>
            <w:left w:w="108" w:type="dxa"/>
            <w:bottom w:w="0" w:type="dxa"/>
            <w:right w:w="108" w:type="dxa"/>
          </w:tblCellMar>
        </w:tblPrEx>
        <w:trPr>
          <w:trHeight w:val="1605"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18</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工程建设</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土木工程，</w:t>
            </w:r>
            <w:r>
              <w:rPr>
                <w:rFonts w:hint="eastAsia" w:ascii="方正仿宋简体" w:hAnsi="方正仿宋简体" w:eastAsia="方正仿宋简体" w:cs="方正仿宋简体"/>
                <w:i w:val="0"/>
                <w:color w:val="000000"/>
                <w:kern w:val="0"/>
                <w:sz w:val="22"/>
                <w:szCs w:val="22"/>
                <w:u w:val="none"/>
                <w:lang w:val="en-US" w:eastAsia="zh-CN" w:bidi="ar"/>
              </w:rPr>
              <w:t>电气工程及其自动化，焊接技术与工程，金属材料工程，油气储运工程，石油与天然气工程，石油工程，材料科学与工程，高分子材料与工程，自动化，测绘工程，安全工程，工程造价</w:t>
            </w:r>
          </w:p>
        </w:tc>
        <w:tc>
          <w:tcPr>
            <w:tcW w:w="651"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sz w:val="22"/>
                <w:szCs w:val="22"/>
              </w:rPr>
            </w:pPr>
            <w:r>
              <w:rPr>
                <w:rFonts w:hint="eastAsia" w:ascii="等线" w:hAnsi="等线" w:eastAsia="等线" w:cs="等线"/>
                <w:i w:val="0"/>
                <w:color w:val="000000"/>
                <w:kern w:val="0"/>
                <w:sz w:val="20"/>
                <w:szCs w:val="20"/>
                <w:u w:val="none"/>
                <w:lang w:val="en-US" w:eastAsia="zh-CN" w:bidi="ar"/>
              </w:rPr>
              <w:t>15</w:t>
            </w:r>
          </w:p>
        </w:tc>
      </w:tr>
      <w:tr>
        <w:tblPrEx>
          <w:tblLayout w:type="fixed"/>
          <w:tblCellMar>
            <w:top w:w="0" w:type="dxa"/>
            <w:left w:w="108" w:type="dxa"/>
            <w:bottom w:w="0" w:type="dxa"/>
            <w:right w:w="108" w:type="dxa"/>
          </w:tblCellMar>
        </w:tblPrEx>
        <w:trPr>
          <w:trHeight w:val="2820"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19</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工程设计</w:t>
            </w:r>
          </w:p>
        </w:tc>
        <w:tc>
          <w:tcPr>
            <w:tcW w:w="2547"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lang w:eastAsia="zh-CN"/>
              </w:rPr>
              <w:t>大学本科</w:t>
            </w:r>
            <w:r>
              <w:rPr>
                <w:rFonts w:hint="eastAsia" w:ascii="方正仿宋简体" w:hAnsi="等线" w:eastAsia="方正仿宋简体" w:cs="宋体"/>
                <w:color w:val="000000"/>
                <w:kern w:val="0"/>
                <w:sz w:val="22"/>
              </w:rPr>
              <w:t>生及以上</w:t>
            </w:r>
          </w:p>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（博士研究生，国内一流大学建设高校或泰晤士世界排名前200名国外高校大学本科及以上毕业生，国内一流学科建设高校或泰晤士世界排名前300名国外高校硕士研究生）</w:t>
            </w:r>
          </w:p>
        </w:tc>
        <w:tc>
          <w:tcPr>
            <w:tcW w:w="4310"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土木工程，</w:t>
            </w:r>
            <w:r>
              <w:rPr>
                <w:rFonts w:hint="eastAsia" w:ascii="方正仿宋简体" w:hAnsi="方正仿宋简体" w:eastAsia="方正仿宋简体" w:cs="方正仿宋简体"/>
                <w:i w:val="0"/>
                <w:color w:val="000000"/>
                <w:kern w:val="0"/>
                <w:sz w:val="22"/>
                <w:szCs w:val="22"/>
                <w:u w:val="none"/>
                <w:lang w:val="en-US" w:eastAsia="zh-CN" w:bidi="ar"/>
              </w:rPr>
              <w:t>技术经济及管理，给排水科学与工程，过程装备与控制工程，城乡规划，化学工艺，化学工程与工艺，桥梁与隧道工程，工程造价，机械设计制造及其自动化，分析化学，应用化学，焊接技术与工程，材料科学与工程，测控技术与仪器，测绘工程，软件工程</w:t>
            </w:r>
          </w:p>
        </w:tc>
        <w:tc>
          <w:tcPr>
            <w:tcW w:w="651"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10</w:t>
            </w:r>
          </w:p>
        </w:tc>
      </w:tr>
      <w:tr>
        <w:tblPrEx>
          <w:tblLayout w:type="fixed"/>
          <w:tblCellMar>
            <w:top w:w="0" w:type="dxa"/>
            <w:left w:w="108" w:type="dxa"/>
            <w:bottom w:w="0" w:type="dxa"/>
            <w:right w:w="108" w:type="dxa"/>
          </w:tblCellMar>
        </w:tblPrEx>
        <w:trPr>
          <w:trHeight w:val="3396" w:hRule="atLeas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20</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工程设计</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硕士研究生及以上</w:t>
            </w:r>
          </w:p>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lang w:val="en-US" w:eastAsia="zh-CN"/>
              </w:rPr>
              <w:t>{</w:t>
            </w:r>
            <w:r>
              <w:rPr>
                <w:rFonts w:hint="eastAsia" w:ascii="方正仿宋简体" w:hAnsi="等线" w:eastAsia="方正仿宋简体" w:cs="宋体"/>
                <w:color w:val="000000"/>
                <w:kern w:val="0"/>
                <w:sz w:val="22"/>
              </w:rPr>
              <w:t>博士研究生，国内“双一流”大学或泰晤士世界排名前200名国外高校硕士研究生（其中化学工程与工艺、油气储运工程、石油与天然气工程，应为一流大学建设高校硕士研究生或一流学科建设高校建设学科的硕士研究</w:t>
            </w:r>
            <w:r>
              <w:rPr>
                <w:rFonts w:hint="eastAsia" w:ascii="方正仿宋简体" w:hAnsi="等线" w:eastAsia="方正仿宋简体" w:cs="宋体"/>
                <w:color w:val="000000"/>
                <w:kern w:val="0"/>
                <w:sz w:val="22"/>
                <w:lang w:eastAsia="zh-CN"/>
              </w:rPr>
              <w:t>生）</w:t>
            </w:r>
            <w:r>
              <w:rPr>
                <w:rFonts w:hint="eastAsia" w:ascii="方正仿宋简体" w:hAnsi="等线" w:eastAsia="方正仿宋简体" w:cs="宋体"/>
                <w:color w:val="000000"/>
                <w:kern w:val="0"/>
                <w:sz w:val="22"/>
                <w:lang w:val="en-US" w:eastAsia="zh-CN"/>
              </w:rPr>
              <w:t>}</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给排水科学与工程，</w:t>
            </w:r>
            <w:r>
              <w:rPr>
                <w:rFonts w:hint="eastAsia" w:ascii="方正仿宋简体" w:hAnsi="方正仿宋简体" w:eastAsia="方正仿宋简体" w:cs="方正仿宋简体"/>
                <w:i w:val="0"/>
                <w:color w:val="000000"/>
                <w:kern w:val="0"/>
                <w:sz w:val="22"/>
                <w:szCs w:val="22"/>
                <w:u w:val="none"/>
                <w:lang w:val="en-US" w:eastAsia="zh-CN" w:bidi="ar"/>
              </w:rPr>
              <w:t>化学工程与工艺，油气储运工程，石油与天然气工程，化工过程机械，电气工程及其自动化，自动化，通信工程，道路桥梁与渡河工程，建筑环境与能源应用工程，工程造价，通信工程</w:t>
            </w:r>
          </w:p>
        </w:tc>
        <w:tc>
          <w:tcPr>
            <w:tcW w:w="651" w:type="dxa"/>
            <w:tcBorders>
              <w:top w:val="nil"/>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center"/>
              <w:textAlignment w:val="center"/>
              <w:rPr>
                <w:rFonts w:hint="default" w:ascii="方正仿宋简体" w:hAnsi="方正仿宋简体" w:eastAsia="方正仿宋简体" w:cs="方正仿宋简体"/>
                <w:color w:val="000000"/>
                <w:sz w:val="22"/>
                <w:szCs w:val="22"/>
                <w:lang w:val="en-US" w:eastAsia="zh-CN"/>
              </w:rPr>
            </w:pPr>
            <w:r>
              <w:rPr>
                <w:rFonts w:hint="eastAsia" w:ascii="等线" w:hAnsi="等线" w:eastAsia="等线" w:cs="等线"/>
                <w:i w:val="0"/>
                <w:color w:val="000000"/>
                <w:kern w:val="0"/>
                <w:sz w:val="20"/>
                <w:szCs w:val="20"/>
                <w:u w:val="none"/>
                <w:lang w:val="en-US" w:eastAsia="zh-CN" w:bidi="ar"/>
              </w:rPr>
              <w:t>20</w:t>
            </w:r>
          </w:p>
        </w:tc>
      </w:tr>
      <w:tr>
        <w:tblPrEx>
          <w:tblLayout w:type="fixed"/>
          <w:tblCellMar>
            <w:top w:w="0" w:type="dxa"/>
            <w:left w:w="108" w:type="dxa"/>
            <w:bottom w:w="0" w:type="dxa"/>
            <w:right w:w="108" w:type="dxa"/>
          </w:tblCellMar>
        </w:tblPrEx>
        <w:trPr>
          <w:trHeight w:val="1984" w:hRule="exact"/>
          <w:jc w:val="center"/>
        </w:trPr>
        <w:tc>
          <w:tcPr>
            <w:tcW w:w="5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21</w:t>
            </w:r>
          </w:p>
        </w:tc>
        <w:tc>
          <w:tcPr>
            <w:tcW w:w="154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等线" w:eastAsia="方正仿宋简体" w:cs="宋体"/>
                <w:color w:val="000000"/>
                <w:kern w:val="0"/>
                <w:sz w:val="22"/>
                <w:lang w:val="en-US" w:eastAsia="zh-CN"/>
              </w:rPr>
              <w:t>电力生产与运维</w:t>
            </w:r>
          </w:p>
        </w:tc>
        <w:tc>
          <w:tcPr>
            <w:tcW w:w="2547"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电气工程及其自动化，</w:t>
            </w:r>
            <w:r>
              <w:rPr>
                <w:rFonts w:hint="eastAsia" w:ascii="方正仿宋简体" w:hAnsi="方正仿宋简体" w:eastAsia="方正仿宋简体" w:cs="方正仿宋简体"/>
                <w:i w:val="0"/>
                <w:color w:val="000000"/>
                <w:kern w:val="0"/>
                <w:sz w:val="22"/>
                <w:szCs w:val="22"/>
                <w:u w:val="none"/>
                <w:lang w:val="en-US" w:eastAsia="zh-CN" w:bidi="ar"/>
              </w:rPr>
              <w:t>大地测量学与测量工程，土木工程，结构工程，工程造价，给排水科学与工程，环境科学与工程，计算机科学与技术，机械设计制造及其自动化，电气工程，能源与动力工程，智能电网信息工程</w:t>
            </w:r>
          </w:p>
        </w:tc>
        <w:tc>
          <w:tcPr>
            <w:tcW w:w="651" w:type="dxa"/>
            <w:tcBorders>
              <w:top w:val="nil"/>
              <w:left w:val="single" w:color="auto" w:sz="4" w:space="0"/>
              <w:bottom w:val="single" w:color="auto" w:sz="4" w:space="0"/>
              <w:right w:val="single" w:color="auto" w:sz="4" w:space="0"/>
            </w:tcBorders>
            <w:shd w:val="clear" w:color="000000" w:fill="FFFFFF"/>
            <w:vAlign w:val="center"/>
          </w:tcPr>
          <w:p>
            <w:pPr>
              <w:jc w:val="center"/>
              <w:rPr>
                <w:rFonts w:hint="default" w:ascii="方正仿宋简体" w:hAnsi="方正仿宋简体" w:eastAsia="方正仿宋简体" w:cs="方正仿宋简体"/>
                <w:color w:val="000000"/>
                <w:sz w:val="22"/>
                <w:szCs w:val="22"/>
                <w:lang w:val="en-US" w:eastAsia="zh-CN"/>
              </w:rPr>
            </w:pPr>
            <w:r>
              <w:rPr>
                <w:rFonts w:hint="eastAsia" w:ascii="方正仿宋简体" w:hAnsi="方正仿宋简体" w:eastAsia="方正仿宋简体" w:cs="方正仿宋简体"/>
                <w:color w:val="000000"/>
                <w:sz w:val="22"/>
                <w:szCs w:val="22"/>
                <w:lang w:val="en-US" w:eastAsia="zh-CN"/>
              </w:rPr>
              <w:t>10</w:t>
            </w:r>
          </w:p>
        </w:tc>
      </w:tr>
      <w:tr>
        <w:tblPrEx>
          <w:tblLayout w:type="fixed"/>
          <w:tblCellMar>
            <w:top w:w="0" w:type="dxa"/>
            <w:left w:w="108" w:type="dxa"/>
            <w:bottom w:w="0" w:type="dxa"/>
            <w:right w:w="108" w:type="dxa"/>
          </w:tblCellMar>
        </w:tblPrEx>
        <w:trPr>
          <w:trHeight w:val="1984" w:hRule="exact"/>
          <w:jc w:val="center"/>
        </w:trPr>
        <w:tc>
          <w:tcPr>
            <w:tcW w:w="5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方正仿宋简体" w:hAnsi="方正仿宋简体" w:eastAsia="方正仿宋简体" w:cs="方正仿宋简体"/>
                <w:color w:val="000000"/>
                <w:kern w:val="0"/>
                <w:sz w:val="22"/>
                <w:szCs w:val="22"/>
                <w:lang w:val="en-US" w:eastAsia="zh-CN"/>
              </w:rPr>
            </w:pPr>
            <w:r>
              <w:rPr>
                <w:rFonts w:hint="eastAsia" w:ascii="方正仿宋简体" w:hAnsi="方正仿宋简体" w:eastAsia="方正仿宋简体" w:cs="方正仿宋简体"/>
                <w:color w:val="000000"/>
                <w:kern w:val="0"/>
                <w:sz w:val="22"/>
                <w:szCs w:val="22"/>
                <w:lang w:val="en-US" w:eastAsia="zh-CN"/>
              </w:rPr>
              <w:t>22</w:t>
            </w:r>
          </w:p>
        </w:tc>
        <w:tc>
          <w:tcPr>
            <w:tcW w:w="154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i w:val="0"/>
                <w:color w:val="000000"/>
                <w:kern w:val="0"/>
                <w:sz w:val="22"/>
                <w:szCs w:val="22"/>
                <w:u w:val="none"/>
                <w:lang w:val="en-US" w:eastAsia="zh-CN" w:bidi="ar"/>
              </w:rPr>
              <w:t>机械工程</w:t>
            </w:r>
          </w:p>
        </w:tc>
        <w:tc>
          <w:tcPr>
            <w:tcW w:w="2547"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hint="eastAsia" w:ascii="方正仿宋简体" w:hAnsi="等线" w:eastAsia="方正仿宋简体" w:cs="宋体"/>
                <w:color w:val="000000"/>
                <w:kern w:val="0"/>
                <w:sz w:val="22"/>
              </w:rPr>
            </w:pPr>
            <w:r>
              <w:rPr>
                <w:rFonts w:hint="eastAsia" w:ascii="方正仿宋简体" w:hAnsi="等线" w:eastAsia="方正仿宋简体" w:cs="宋体"/>
                <w:color w:val="000000"/>
                <w:kern w:val="0"/>
                <w:sz w:val="22"/>
              </w:rPr>
              <w:t>大学本科及以上</w:t>
            </w:r>
          </w:p>
        </w:tc>
        <w:tc>
          <w:tcPr>
            <w:tcW w:w="4310"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outlineLvl w:val="9"/>
              <w:rPr>
                <w:rFonts w:hint="eastAsia" w:ascii="方正仿宋简体" w:hAnsi="方正仿宋简体" w:eastAsia="方正仿宋简体" w:cs="方正仿宋简体"/>
                <w:color w:val="000000"/>
                <w:kern w:val="0"/>
                <w:sz w:val="22"/>
                <w:szCs w:val="22"/>
              </w:rPr>
            </w:pPr>
            <w:r>
              <w:rPr>
                <w:rFonts w:hint="eastAsia" w:ascii="方正仿宋简体" w:hAnsi="方正仿宋简体" w:eastAsia="方正仿宋简体" w:cs="方正仿宋简体"/>
                <w:b/>
                <w:bCs/>
                <w:i w:val="0"/>
                <w:color w:val="000000"/>
                <w:kern w:val="0"/>
                <w:sz w:val="22"/>
                <w:szCs w:val="22"/>
                <w:u w:val="none"/>
                <w:lang w:val="en-US" w:eastAsia="zh-CN" w:bidi="ar"/>
              </w:rPr>
              <w:t>机械设计制造及其自动化，</w:t>
            </w:r>
            <w:r>
              <w:rPr>
                <w:rFonts w:hint="eastAsia" w:ascii="方正仿宋简体" w:hAnsi="方正仿宋简体" w:eastAsia="方正仿宋简体" w:cs="方正仿宋简体"/>
                <w:i w:val="0"/>
                <w:color w:val="000000"/>
                <w:kern w:val="0"/>
                <w:sz w:val="22"/>
                <w:szCs w:val="22"/>
                <w:u w:val="none"/>
                <w:lang w:val="en-US" w:eastAsia="zh-CN" w:bidi="ar"/>
              </w:rPr>
              <w:t>机械电子工程，机械工程，自动化，金属材料工程，过程装备与控制工程，焊接技术与工程，电气工程及其自动化，电气工程与智能控制，弹药工程与爆炸技术，石油工程</w:t>
            </w:r>
          </w:p>
        </w:tc>
        <w:tc>
          <w:tcPr>
            <w:tcW w:w="65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default" w:ascii="方正仿宋简体" w:hAnsi="方正仿宋简体" w:eastAsia="方正仿宋简体" w:cs="方正仿宋简体"/>
                <w:color w:val="000000"/>
                <w:sz w:val="22"/>
                <w:szCs w:val="22"/>
                <w:lang w:val="en-US" w:eastAsia="zh-CN"/>
              </w:rPr>
            </w:pPr>
            <w:r>
              <w:rPr>
                <w:rFonts w:hint="eastAsia" w:ascii="方正仿宋简体" w:hAnsi="方正仿宋简体" w:eastAsia="方正仿宋简体" w:cs="方正仿宋简体"/>
                <w:color w:val="000000"/>
                <w:sz w:val="22"/>
                <w:szCs w:val="22"/>
                <w:lang w:val="en-US" w:eastAsia="zh-CN"/>
              </w:rPr>
              <w:t>10</w:t>
            </w:r>
          </w:p>
        </w:tc>
      </w:tr>
    </w:tbl>
    <w:p>
      <w:pPr>
        <w:widowControl/>
        <w:shd w:val="clear" w:color="auto" w:fill="FFFFFF"/>
        <w:spacing w:before="156" w:beforeLines="50" w:line="560" w:lineRule="exact"/>
        <w:ind w:firstLine="640" w:firstLineChars="200"/>
        <w:rPr>
          <w:rFonts w:hint="eastAsia" w:ascii="方正黑体简体" w:hAnsi="Arial" w:eastAsia="方正黑体简体" w:cs="Arial"/>
          <w:kern w:val="0"/>
          <w:sz w:val="32"/>
          <w:szCs w:val="32"/>
          <w:lang w:eastAsia="zh-CN"/>
        </w:rPr>
      </w:pPr>
      <w:r>
        <w:rPr>
          <w:rFonts w:hint="eastAsia" w:ascii="方正黑体简体" w:hAnsi="Arial" w:eastAsia="方正黑体简体" w:cs="Arial"/>
          <w:kern w:val="0"/>
          <w:sz w:val="32"/>
          <w:szCs w:val="32"/>
          <w:lang w:eastAsia="zh-CN"/>
        </w:rPr>
        <w:t>三、优秀毕业生人才引进津贴</w:t>
      </w:r>
    </w:p>
    <w:tbl>
      <w:tblPr>
        <w:tblStyle w:val="8"/>
        <w:tblW w:w="907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6696"/>
        <w:gridCol w:w="1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3" w:hRule="atLeast"/>
          <w:tblHeader/>
          <w:jc w:val="center"/>
        </w:trPr>
        <w:tc>
          <w:tcPr>
            <w:tcW w:w="697" w:type="dxa"/>
            <w:vAlign w:val="center"/>
          </w:tcPr>
          <w:p>
            <w:pPr>
              <w:widowControl/>
              <w:jc w:val="center"/>
              <w:rPr>
                <w:rFonts w:hint="eastAsia" w:ascii="等线" w:hAnsi="等线" w:eastAsia="等线" w:cs="宋体"/>
                <w:b/>
                <w:bCs/>
                <w:color w:val="000000"/>
                <w:kern w:val="0"/>
                <w:sz w:val="20"/>
                <w:szCs w:val="20"/>
                <w:lang w:eastAsia="zh-CN"/>
              </w:rPr>
            </w:pPr>
            <w:r>
              <w:rPr>
                <w:rFonts w:hint="eastAsia" w:ascii="等线" w:hAnsi="等线" w:eastAsia="等线" w:cs="宋体"/>
                <w:b/>
                <w:bCs/>
                <w:color w:val="000000"/>
                <w:kern w:val="0"/>
                <w:sz w:val="20"/>
                <w:szCs w:val="20"/>
                <w:lang w:eastAsia="zh-CN"/>
              </w:rPr>
              <w:t>序</w:t>
            </w:r>
          </w:p>
          <w:p>
            <w:pPr>
              <w:widowControl/>
              <w:jc w:val="center"/>
              <w:rPr>
                <w:rFonts w:hint="eastAsia" w:ascii="等线" w:hAnsi="等线" w:eastAsia="等线" w:cs="宋体"/>
                <w:b/>
                <w:bCs/>
                <w:color w:val="000000"/>
                <w:kern w:val="0"/>
                <w:sz w:val="20"/>
                <w:szCs w:val="20"/>
                <w:lang w:eastAsia="zh-CN"/>
              </w:rPr>
            </w:pPr>
            <w:r>
              <w:rPr>
                <w:rFonts w:hint="eastAsia" w:ascii="等线" w:hAnsi="等线" w:eastAsia="等线" w:cs="宋体"/>
                <w:b/>
                <w:bCs/>
                <w:color w:val="000000"/>
                <w:kern w:val="0"/>
                <w:sz w:val="20"/>
                <w:szCs w:val="20"/>
                <w:lang w:eastAsia="zh-CN"/>
              </w:rPr>
              <w:t>号</w:t>
            </w:r>
          </w:p>
        </w:tc>
        <w:tc>
          <w:tcPr>
            <w:tcW w:w="6696" w:type="dxa"/>
            <w:vAlign w:val="center"/>
          </w:tcPr>
          <w:p>
            <w:pPr>
              <w:widowControl/>
              <w:jc w:val="center"/>
              <w:rPr>
                <w:rFonts w:hint="eastAsia" w:ascii="等线" w:hAnsi="等线" w:eastAsia="等线" w:cs="宋体"/>
                <w:b/>
                <w:bCs/>
                <w:color w:val="000000"/>
                <w:kern w:val="0"/>
                <w:sz w:val="20"/>
                <w:szCs w:val="20"/>
              </w:rPr>
            </w:pPr>
            <w:r>
              <w:rPr>
                <w:rFonts w:hint="eastAsia" w:ascii="等线" w:hAnsi="等线" w:eastAsia="等线" w:cs="宋体"/>
                <w:b/>
                <w:bCs/>
                <w:color w:val="000000"/>
                <w:kern w:val="0"/>
                <w:sz w:val="20"/>
                <w:szCs w:val="20"/>
              </w:rPr>
              <w:t>发放范围</w:t>
            </w:r>
          </w:p>
        </w:tc>
        <w:tc>
          <w:tcPr>
            <w:tcW w:w="1678" w:type="dxa"/>
            <w:vAlign w:val="center"/>
          </w:tcPr>
          <w:p>
            <w:pPr>
              <w:widowControl/>
              <w:jc w:val="center"/>
              <w:rPr>
                <w:rFonts w:hint="eastAsia" w:ascii="等线" w:hAnsi="等线" w:eastAsia="等线" w:cs="宋体"/>
                <w:b/>
                <w:bCs/>
                <w:color w:val="000000"/>
                <w:kern w:val="0"/>
                <w:sz w:val="20"/>
                <w:szCs w:val="20"/>
              </w:rPr>
            </w:pPr>
            <w:r>
              <w:rPr>
                <w:rFonts w:hint="eastAsia" w:ascii="等线" w:hAnsi="等线" w:eastAsia="等线" w:cs="宋体"/>
                <w:b/>
                <w:bCs/>
                <w:color w:val="000000"/>
                <w:kern w:val="0"/>
                <w:sz w:val="20"/>
                <w:szCs w:val="20"/>
                <w:lang w:eastAsia="zh-CN"/>
              </w:rPr>
              <w:t>发放</w:t>
            </w:r>
            <w:r>
              <w:rPr>
                <w:rFonts w:hint="eastAsia" w:ascii="等线" w:hAnsi="等线" w:eastAsia="等线" w:cs="宋体"/>
                <w:b/>
                <w:bCs/>
                <w:color w:val="000000"/>
                <w:kern w:val="0"/>
                <w:sz w:val="20"/>
                <w:szCs w:val="20"/>
              </w:rPr>
              <w:t>额度</w:t>
            </w:r>
          </w:p>
          <w:p>
            <w:pPr>
              <w:widowControl/>
              <w:jc w:val="center"/>
              <w:rPr>
                <w:rFonts w:hint="eastAsia" w:ascii="等线" w:hAnsi="等线" w:eastAsia="等线" w:cs="宋体"/>
                <w:b/>
                <w:bCs/>
                <w:color w:val="000000"/>
                <w:kern w:val="0"/>
                <w:sz w:val="20"/>
                <w:szCs w:val="20"/>
                <w:lang w:eastAsia="zh-CN"/>
              </w:rPr>
            </w:pPr>
            <w:r>
              <w:rPr>
                <w:rFonts w:hint="eastAsia" w:ascii="等线" w:hAnsi="等线" w:eastAsia="等线" w:cs="宋体"/>
                <w:b/>
                <w:bCs/>
                <w:color w:val="000000"/>
                <w:kern w:val="0"/>
                <w:sz w:val="20"/>
                <w:szCs w:val="20"/>
                <w:lang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69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方正仿宋简体" w:eastAsia="方正仿宋简体"/>
                <w:sz w:val="22"/>
                <w:szCs w:val="22"/>
                <w:lang w:eastAsia="zh-CN"/>
              </w:rPr>
            </w:pPr>
            <w:r>
              <w:rPr>
                <w:rFonts w:hint="eastAsia" w:ascii="方正仿宋简体" w:eastAsia="方正仿宋简体"/>
                <w:sz w:val="22"/>
                <w:szCs w:val="22"/>
                <w:lang w:val="en-US" w:eastAsia="zh-CN"/>
              </w:rPr>
              <w:t>1</w:t>
            </w:r>
          </w:p>
        </w:tc>
        <w:tc>
          <w:tcPr>
            <w:tcW w:w="6696"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outlineLvl w:val="9"/>
              <w:rPr>
                <w:rFonts w:hint="eastAsia" w:ascii="方正仿宋简体" w:eastAsia="方正仿宋简体"/>
                <w:sz w:val="22"/>
                <w:szCs w:val="22"/>
                <w:u w:val="none"/>
                <w:lang w:eastAsia="zh-CN"/>
              </w:rPr>
            </w:pPr>
            <w:r>
              <w:rPr>
                <w:rFonts w:hint="eastAsia" w:ascii="方正仿宋简体" w:eastAsia="方正仿宋简体"/>
                <w:sz w:val="22"/>
                <w:szCs w:val="22"/>
                <w:u w:val="none"/>
                <w:lang w:eastAsia="zh-CN"/>
              </w:rPr>
              <w:t>研究生学习阶段均在双一流建设高校的博士研究生</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default" w:ascii="方正仿宋简体" w:eastAsia="方正仿宋简体"/>
                <w:sz w:val="22"/>
                <w:szCs w:val="22"/>
                <w:lang w:val="en-US" w:eastAsia="zh-CN"/>
              </w:rPr>
            </w:pPr>
            <w:r>
              <w:rPr>
                <w:rFonts w:hint="eastAsia" w:ascii="方正仿宋简体" w:eastAsia="方正仿宋简体"/>
                <w:sz w:val="22"/>
                <w:szCs w:val="22"/>
                <w:lang w:val="en-US" w:eastAsia="zh-CN"/>
              </w:rPr>
              <w:t>20+5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1" w:hRule="exact"/>
          <w:jc w:val="center"/>
        </w:trPr>
        <w:tc>
          <w:tcPr>
            <w:tcW w:w="69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方正仿宋简体" w:eastAsia="方正仿宋简体"/>
                <w:sz w:val="22"/>
                <w:szCs w:val="22"/>
                <w:lang w:val="en-US" w:eastAsia="zh-CN"/>
              </w:rPr>
            </w:pPr>
            <w:r>
              <w:rPr>
                <w:rFonts w:hint="eastAsia" w:ascii="方正仿宋简体" w:eastAsia="方正仿宋简体"/>
                <w:sz w:val="22"/>
                <w:szCs w:val="22"/>
                <w:lang w:val="en-US" w:eastAsia="zh-CN"/>
              </w:rPr>
              <w:t>2</w:t>
            </w:r>
          </w:p>
        </w:tc>
        <w:tc>
          <w:tcPr>
            <w:tcW w:w="6696"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outlineLvl w:val="9"/>
              <w:rPr>
                <w:rFonts w:hint="eastAsia" w:ascii="方正仿宋简体" w:eastAsia="方正仿宋简体"/>
                <w:sz w:val="22"/>
                <w:szCs w:val="22"/>
                <w:u w:val="none"/>
              </w:rPr>
            </w:pPr>
            <w:r>
              <w:rPr>
                <w:rFonts w:hint="eastAsia" w:ascii="方正仿宋简体" w:eastAsia="方正仿宋简体"/>
                <w:sz w:val="22"/>
                <w:szCs w:val="22"/>
                <w:u w:val="none"/>
                <w:lang w:eastAsia="zh-CN"/>
              </w:rPr>
              <w:t>其他</w:t>
            </w:r>
            <w:r>
              <w:rPr>
                <w:rFonts w:hint="eastAsia" w:ascii="方正仿宋简体" w:eastAsia="方正仿宋简体"/>
                <w:sz w:val="22"/>
                <w:szCs w:val="22"/>
                <w:u w:val="none"/>
              </w:rPr>
              <w:t>博士</w:t>
            </w:r>
            <w:r>
              <w:rPr>
                <w:rFonts w:ascii="方正仿宋简体" w:eastAsia="方正仿宋简体"/>
                <w:sz w:val="22"/>
                <w:szCs w:val="22"/>
                <w:u w:val="none"/>
              </w:rPr>
              <w:t>研究生</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default" w:ascii="方正仿宋简体" w:eastAsia="方正仿宋简体"/>
                <w:sz w:val="22"/>
                <w:szCs w:val="22"/>
                <w:lang w:val="en-US"/>
              </w:rPr>
            </w:pPr>
            <w:r>
              <w:rPr>
                <w:rFonts w:hint="eastAsia" w:ascii="方正仿宋简体" w:eastAsia="方正仿宋简体"/>
                <w:sz w:val="22"/>
                <w:szCs w:val="22"/>
                <w:lang w:val="en-US" w:eastAsia="zh-CN"/>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1" w:hRule="exact"/>
          <w:jc w:val="center"/>
        </w:trPr>
        <w:tc>
          <w:tcPr>
            <w:tcW w:w="69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方正仿宋简体" w:eastAsia="方正仿宋简体"/>
                <w:sz w:val="22"/>
                <w:szCs w:val="22"/>
                <w:lang w:eastAsia="zh-CN"/>
              </w:rPr>
            </w:pPr>
            <w:r>
              <w:rPr>
                <w:rFonts w:hint="eastAsia" w:ascii="方正仿宋简体" w:eastAsia="方正仿宋简体"/>
                <w:sz w:val="22"/>
                <w:szCs w:val="22"/>
                <w:lang w:val="en-US" w:eastAsia="zh-CN"/>
              </w:rPr>
              <w:t>3</w:t>
            </w:r>
          </w:p>
        </w:tc>
        <w:tc>
          <w:tcPr>
            <w:tcW w:w="669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outlineLvl w:val="9"/>
              <w:rPr>
                <w:rFonts w:ascii="方正仿宋简体" w:eastAsia="方正仿宋简体"/>
                <w:sz w:val="22"/>
                <w:szCs w:val="22"/>
                <w:u w:val="none"/>
              </w:rPr>
            </w:pPr>
            <w:r>
              <w:rPr>
                <w:rFonts w:hint="eastAsia" w:ascii="方正仿宋简体" w:eastAsia="方正仿宋简体"/>
                <w:sz w:val="22"/>
                <w:szCs w:val="22"/>
                <w:u w:val="none"/>
              </w:rPr>
              <w:t>一流大学建设高校</w:t>
            </w:r>
            <w:r>
              <w:rPr>
                <w:rFonts w:hint="eastAsia" w:ascii="方正仿宋简体" w:eastAsia="方正仿宋简体"/>
                <w:sz w:val="22"/>
                <w:szCs w:val="22"/>
                <w:u w:val="none"/>
                <w:lang w:eastAsia="zh-CN"/>
              </w:rPr>
              <w:t>硕士研究生、</w:t>
            </w:r>
            <w:r>
              <w:rPr>
                <w:rFonts w:hint="eastAsia" w:ascii="方正仿宋简体" w:eastAsia="方正仿宋简体"/>
                <w:sz w:val="22"/>
                <w:szCs w:val="22"/>
                <w:u w:val="none"/>
              </w:rPr>
              <w:t>一流学科建设高校的一流建设学科</w:t>
            </w:r>
            <w:r>
              <w:rPr>
                <w:rFonts w:hint="eastAsia" w:ascii="方正仿宋简体" w:eastAsia="方正仿宋简体"/>
                <w:sz w:val="22"/>
                <w:szCs w:val="22"/>
                <w:u w:val="none"/>
                <w:lang w:eastAsia="zh-CN"/>
              </w:rPr>
              <w:t>硕士研究生、</w:t>
            </w:r>
            <w:r>
              <w:rPr>
                <w:rFonts w:hint="eastAsia" w:ascii="方正仿宋简体" w:eastAsia="方正仿宋简体"/>
                <w:sz w:val="22"/>
                <w:szCs w:val="22"/>
                <w:u w:val="none"/>
              </w:rPr>
              <w:t>泰晤士</w:t>
            </w:r>
            <w:r>
              <w:rPr>
                <w:rFonts w:hint="eastAsia" w:ascii="方正仿宋简体" w:eastAsia="方正仿宋简体"/>
                <w:sz w:val="22"/>
                <w:szCs w:val="22"/>
                <w:u w:val="none"/>
                <w:lang w:eastAsia="zh-CN"/>
              </w:rPr>
              <w:t>高等教育世界大学</w:t>
            </w:r>
            <w:r>
              <w:rPr>
                <w:rFonts w:hint="eastAsia" w:ascii="方正仿宋简体" w:eastAsia="方正仿宋简体"/>
                <w:sz w:val="22"/>
                <w:szCs w:val="22"/>
                <w:u w:val="none"/>
              </w:rPr>
              <w:t>排名前100名国外高校</w:t>
            </w:r>
            <w:r>
              <w:rPr>
                <w:rFonts w:ascii="方正仿宋简体" w:eastAsia="方正仿宋简体"/>
                <w:sz w:val="22"/>
                <w:szCs w:val="22"/>
                <w:u w:val="none"/>
              </w:rPr>
              <w:t>的</w:t>
            </w:r>
            <w:r>
              <w:rPr>
                <w:rFonts w:hint="eastAsia" w:ascii="方正仿宋简体" w:eastAsia="方正仿宋简体"/>
                <w:sz w:val="22"/>
                <w:szCs w:val="22"/>
                <w:u w:val="none"/>
              </w:rPr>
              <w:t>硕士研究生</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ascii="方正仿宋简体" w:eastAsia="方正仿宋简体"/>
                <w:sz w:val="22"/>
                <w:szCs w:val="22"/>
              </w:rPr>
            </w:pPr>
            <w:r>
              <w:rPr>
                <w:rFonts w:hint="eastAsia" w:ascii="方正仿宋简体" w:eastAsia="方正仿宋简体"/>
                <w:sz w:val="22"/>
                <w:szCs w:val="22"/>
                <w:lang w:val="en-US" w:eastAsia="zh-CN"/>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3" w:hRule="exact"/>
          <w:jc w:val="center"/>
        </w:trPr>
        <w:tc>
          <w:tcPr>
            <w:tcW w:w="69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方正仿宋简体" w:eastAsia="方正仿宋简体"/>
                <w:sz w:val="22"/>
                <w:szCs w:val="22"/>
                <w:lang w:val="en-US" w:eastAsia="zh-CN"/>
              </w:rPr>
            </w:pPr>
            <w:r>
              <w:rPr>
                <w:rFonts w:hint="eastAsia" w:ascii="方正仿宋简体" w:eastAsia="方正仿宋简体"/>
                <w:sz w:val="22"/>
                <w:szCs w:val="22"/>
                <w:lang w:val="en-US" w:eastAsia="zh-CN"/>
              </w:rPr>
              <w:t>4</w:t>
            </w:r>
          </w:p>
        </w:tc>
        <w:tc>
          <w:tcPr>
            <w:tcW w:w="669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outlineLvl w:val="9"/>
              <w:rPr>
                <w:rFonts w:ascii="方正仿宋简体" w:eastAsia="方正仿宋简体"/>
                <w:sz w:val="22"/>
                <w:szCs w:val="22"/>
                <w:u w:val="none"/>
              </w:rPr>
            </w:pPr>
            <w:r>
              <w:rPr>
                <w:rFonts w:hint="eastAsia" w:ascii="方正仿宋简体" w:eastAsia="方正仿宋简体"/>
                <w:sz w:val="22"/>
                <w:szCs w:val="22"/>
                <w:u w:val="none"/>
                <w:lang w:eastAsia="zh-CN"/>
              </w:rPr>
              <w:t>所学专业为教育部学科评估</w:t>
            </w:r>
            <w:r>
              <w:rPr>
                <w:rFonts w:hint="eastAsia" w:ascii="方正仿宋简体" w:eastAsia="方正仿宋简体"/>
                <w:sz w:val="22"/>
                <w:szCs w:val="22"/>
                <w:u w:val="none"/>
                <w:lang w:val="en-US" w:eastAsia="zh-CN"/>
              </w:rPr>
              <w:t>C+及以上的硕士研究生、</w:t>
            </w:r>
            <w:r>
              <w:rPr>
                <w:rFonts w:hint="eastAsia" w:ascii="方正仿宋简体" w:eastAsia="方正仿宋简体"/>
                <w:sz w:val="22"/>
                <w:szCs w:val="22"/>
                <w:u w:val="none"/>
              </w:rPr>
              <w:t>一流大学建设高校</w:t>
            </w:r>
            <w:r>
              <w:rPr>
                <w:rFonts w:hint="eastAsia" w:ascii="方正仿宋简体" w:eastAsia="方正仿宋简体"/>
                <w:sz w:val="22"/>
                <w:szCs w:val="22"/>
                <w:u w:val="none"/>
                <w:lang w:eastAsia="zh-CN"/>
              </w:rPr>
              <w:t>大学本科生、</w:t>
            </w:r>
            <w:r>
              <w:rPr>
                <w:rFonts w:hint="eastAsia" w:ascii="方正仿宋简体" w:eastAsia="方正仿宋简体"/>
                <w:sz w:val="22"/>
                <w:szCs w:val="22"/>
                <w:u w:val="none"/>
              </w:rPr>
              <w:t>一流学科建设高校的一流建设学科</w:t>
            </w:r>
            <w:r>
              <w:rPr>
                <w:rFonts w:hint="eastAsia" w:ascii="方正仿宋简体" w:eastAsia="方正仿宋简体"/>
                <w:sz w:val="22"/>
                <w:szCs w:val="22"/>
                <w:u w:val="none"/>
                <w:lang w:eastAsia="zh-CN"/>
              </w:rPr>
              <w:t>大学本科生、</w:t>
            </w:r>
            <w:r>
              <w:rPr>
                <w:rFonts w:hint="eastAsia" w:ascii="方正仿宋简体" w:eastAsia="方正仿宋简体"/>
                <w:sz w:val="22"/>
                <w:szCs w:val="22"/>
                <w:u w:val="none"/>
              </w:rPr>
              <w:t>泰晤士排名前100名国外高校</w:t>
            </w:r>
            <w:r>
              <w:rPr>
                <w:rFonts w:ascii="方正仿宋简体" w:eastAsia="方正仿宋简体"/>
                <w:sz w:val="22"/>
                <w:szCs w:val="22"/>
                <w:u w:val="none"/>
              </w:rPr>
              <w:t>的</w:t>
            </w:r>
            <w:r>
              <w:rPr>
                <w:rFonts w:hint="eastAsia" w:ascii="方正仿宋简体" w:eastAsia="方正仿宋简体"/>
                <w:sz w:val="22"/>
                <w:szCs w:val="22"/>
                <w:u w:val="none"/>
                <w:lang w:eastAsia="zh-CN"/>
              </w:rPr>
              <w:t>大学本科生</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方正仿宋简体" w:eastAsia="方正仿宋简体"/>
                <w:sz w:val="22"/>
                <w:szCs w:val="22"/>
                <w:lang w:val="en-US"/>
              </w:rPr>
            </w:pPr>
            <w:r>
              <w:rPr>
                <w:rFonts w:hint="eastAsia" w:ascii="方正仿宋简体" w:eastAsia="方正仿宋简体"/>
                <w:sz w:val="22"/>
                <w:szCs w:val="22"/>
                <w:lang w:val="en-US" w:eastAsia="zh-CN"/>
              </w:rPr>
              <w:t>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63" w:hRule="exact"/>
          <w:jc w:val="center"/>
        </w:trPr>
        <w:tc>
          <w:tcPr>
            <w:tcW w:w="69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方正仿宋简体" w:eastAsia="方正仿宋简体"/>
                <w:sz w:val="22"/>
                <w:szCs w:val="22"/>
                <w:lang w:val="en-US" w:eastAsia="zh-CN"/>
              </w:rPr>
            </w:pPr>
            <w:r>
              <w:rPr>
                <w:rFonts w:hint="eastAsia" w:ascii="方正仿宋简体" w:eastAsia="方正仿宋简体"/>
                <w:sz w:val="22"/>
                <w:szCs w:val="22"/>
                <w:lang w:val="en-US" w:eastAsia="zh-CN"/>
              </w:rPr>
              <w:t>5</w:t>
            </w:r>
          </w:p>
        </w:tc>
        <w:tc>
          <w:tcPr>
            <w:tcW w:w="669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outlineLvl w:val="9"/>
              <w:rPr>
                <w:rFonts w:hint="eastAsia" w:ascii="方正仿宋简体" w:eastAsia="方正仿宋简体"/>
                <w:sz w:val="22"/>
                <w:szCs w:val="22"/>
                <w:u w:val="none"/>
                <w:lang w:eastAsia="zh-CN"/>
              </w:rPr>
            </w:pPr>
            <w:r>
              <w:rPr>
                <w:rFonts w:hint="eastAsia" w:ascii="方正仿宋简体" w:eastAsia="方正仿宋简体"/>
                <w:sz w:val="22"/>
                <w:szCs w:val="22"/>
                <w:u w:val="none"/>
                <w:lang w:eastAsia="zh-CN"/>
              </w:rPr>
              <w:t>所学专业为教育部学科评估B级及以上的石油工程、油气储运工程、地质工程、地质学等石油主干专业，以及机械、电气、自动化、信息技术、土木等理工类通用专业和新能源科学与技术等新能源领域相关专业大学本科生</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方正仿宋简体" w:eastAsia="方正仿宋简体"/>
                <w:sz w:val="22"/>
                <w:szCs w:val="22"/>
                <w:lang w:val="en-US" w:eastAsia="zh-CN"/>
              </w:rPr>
            </w:pPr>
            <w:r>
              <w:rPr>
                <w:rFonts w:hint="eastAsia" w:ascii="方正仿宋简体" w:eastAsia="方正仿宋简体"/>
                <w:sz w:val="22"/>
                <w:szCs w:val="22"/>
                <w:lang w:val="en-US" w:eastAsia="zh-CN"/>
              </w:rPr>
              <w:t>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55" w:hRule="exact"/>
          <w:jc w:val="center"/>
        </w:trPr>
        <w:tc>
          <w:tcPr>
            <w:tcW w:w="69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方正仿宋简体" w:eastAsia="方正仿宋简体"/>
                <w:sz w:val="22"/>
                <w:szCs w:val="22"/>
                <w:lang w:eastAsia="zh-CN"/>
              </w:rPr>
            </w:pPr>
            <w:r>
              <w:rPr>
                <w:rFonts w:hint="eastAsia" w:ascii="方正仿宋简体" w:eastAsia="方正仿宋简体"/>
                <w:sz w:val="22"/>
                <w:szCs w:val="22"/>
                <w:lang w:val="en-US" w:eastAsia="zh-CN"/>
              </w:rPr>
              <w:t>6</w:t>
            </w:r>
          </w:p>
        </w:tc>
        <w:tc>
          <w:tcPr>
            <w:tcW w:w="669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outlineLvl w:val="9"/>
              <w:rPr>
                <w:rFonts w:ascii="方正仿宋简体" w:eastAsia="方正仿宋简体"/>
                <w:sz w:val="22"/>
                <w:szCs w:val="22"/>
                <w:u w:val="none"/>
              </w:rPr>
            </w:pPr>
            <w:r>
              <w:rPr>
                <w:rFonts w:hint="eastAsia" w:ascii="方正仿宋简体" w:eastAsia="方正仿宋简体"/>
                <w:sz w:val="22"/>
                <w:szCs w:val="22"/>
                <w:u w:val="none"/>
                <w:lang w:val="en-US" w:eastAsia="zh-CN"/>
              </w:rPr>
              <w:t>两次</w:t>
            </w:r>
            <w:r>
              <w:rPr>
                <w:rFonts w:ascii="方正仿宋简体" w:eastAsia="方正仿宋简体"/>
                <w:sz w:val="22"/>
                <w:szCs w:val="22"/>
                <w:u w:val="none"/>
              </w:rPr>
              <w:t>获得过</w:t>
            </w:r>
            <w:r>
              <w:rPr>
                <w:rFonts w:hint="eastAsia" w:ascii="方正仿宋简体" w:eastAsia="方正仿宋简体"/>
                <w:sz w:val="22"/>
                <w:szCs w:val="22"/>
                <w:u w:val="none"/>
              </w:rPr>
              <w:t>国家</w:t>
            </w:r>
            <w:r>
              <w:rPr>
                <w:rFonts w:ascii="方正仿宋简体" w:eastAsia="方正仿宋简体"/>
                <w:sz w:val="22"/>
                <w:szCs w:val="22"/>
                <w:u w:val="none"/>
              </w:rPr>
              <w:t>奖学金的</w:t>
            </w:r>
            <w:r>
              <w:rPr>
                <w:rFonts w:hint="eastAsia" w:ascii="方正仿宋简体" w:eastAsia="方正仿宋简体"/>
                <w:sz w:val="22"/>
                <w:szCs w:val="22"/>
                <w:u w:val="none"/>
                <w:lang w:eastAsia="zh-CN"/>
              </w:rPr>
              <w:t>毕业生、</w:t>
            </w:r>
            <w:r>
              <w:rPr>
                <w:rFonts w:ascii="方正仿宋简体" w:eastAsia="方正仿宋简体"/>
                <w:sz w:val="22"/>
                <w:szCs w:val="22"/>
                <w:u w:val="none"/>
              </w:rPr>
              <w:t>两次评选为普通高</w:t>
            </w:r>
            <w:r>
              <w:rPr>
                <w:rFonts w:hint="eastAsia" w:ascii="方正仿宋简体" w:eastAsia="方正仿宋简体"/>
                <w:sz w:val="22"/>
                <w:szCs w:val="22"/>
                <w:u w:val="none"/>
              </w:rPr>
              <w:t>校省级“三好学生”“优秀学生干部”的</w:t>
            </w:r>
            <w:r>
              <w:rPr>
                <w:rFonts w:hint="eastAsia" w:ascii="方正仿宋简体" w:eastAsia="方正仿宋简体"/>
                <w:sz w:val="22"/>
                <w:szCs w:val="22"/>
                <w:u w:val="none"/>
                <w:lang w:eastAsia="zh-CN"/>
              </w:rPr>
              <w:t>毕业生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outlineLvl w:val="9"/>
              <w:rPr>
                <w:rFonts w:ascii="方正仿宋简体" w:eastAsia="方正仿宋简体"/>
                <w:sz w:val="22"/>
                <w:szCs w:val="22"/>
                <w:u w:val="none"/>
              </w:rPr>
            </w:pPr>
            <w:r>
              <w:rPr>
                <w:rFonts w:hint="eastAsia" w:ascii="方正仿宋简体" w:eastAsia="方正仿宋简体"/>
                <w:sz w:val="22"/>
                <w:szCs w:val="22"/>
                <w:u w:val="none"/>
                <w:lang w:eastAsia="zh-CN"/>
              </w:rPr>
              <w:t>在被全国高校竞赛评估与管理体系研究专家委员会纳入全国普通高校大学生竞赛排行榜的项目中获得一等奖项，或在全国油气地质大赛、化工设计竞赛、工程设计大赛中获得一等奖项的毕业生</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方正仿宋简体" w:eastAsia="方正仿宋简体"/>
                <w:sz w:val="22"/>
                <w:szCs w:val="22"/>
              </w:rPr>
            </w:pPr>
            <w:r>
              <w:rPr>
                <w:rFonts w:hint="eastAsia" w:ascii="方正仿宋简体" w:eastAsia="方正仿宋简体"/>
                <w:sz w:val="22"/>
                <w:szCs w:val="22"/>
                <w:lang w:val="en-US" w:eastAsia="zh-CN"/>
              </w:rPr>
              <w:t>5</w:t>
            </w:r>
          </w:p>
        </w:tc>
      </w:tr>
    </w:tbl>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eastAsia="zh-CN"/>
        </w:rPr>
        <w:t>注：本表符合第</w:t>
      </w:r>
      <w:r>
        <w:rPr>
          <w:rFonts w:hint="eastAsia" w:ascii="方正仿宋简体" w:hAnsi="方正仿宋简体" w:eastAsia="方正仿宋简体" w:cs="方正仿宋简体"/>
          <w:sz w:val="32"/>
          <w:szCs w:val="32"/>
          <w:lang w:val="en-US" w:eastAsia="zh-CN"/>
        </w:rPr>
        <w:t>1-5项条件且</w:t>
      </w:r>
      <w:r>
        <w:rPr>
          <w:rFonts w:hint="eastAsia" w:ascii="方正仿宋简体" w:hAnsi="方正仿宋简体" w:eastAsia="方正仿宋简体" w:cs="方正仿宋简体"/>
          <w:sz w:val="32"/>
          <w:szCs w:val="32"/>
          <w:lang w:eastAsia="zh-CN"/>
        </w:rPr>
        <w:t>具备第</w:t>
      </w:r>
      <w:r>
        <w:rPr>
          <w:rFonts w:hint="eastAsia" w:ascii="方正仿宋简体" w:hAnsi="方正仿宋简体" w:eastAsia="方正仿宋简体" w:cs="方正仿宋简体"/>
          <w:sz w:val="32"/>
          <w:szCs w:val="32"/>
          <w:lang w:val="en-US" w:eastAsia="zh-CN"/>
        </w:rPr>
        <w:t>6</w:t>
      </w:r>
      <w:r>
        <w:rPr>
          <w:rFonts w:hint="eastAsia" w:ascii="方正仿宋简体" w:hAnsi="方正仿宋简体" w:eastAsia="方正仿宋简体" w:cs="方正仿宋简体"/>
          <w:sz w:val="32"/>
          <w:szCs w:val="32"/>
          <w:lang w:eastAsia="zh-CN"/>
        </w:rPr>
        <w:t>项条件的毕业生，人才引进津贴发放额度按照“</w:t>
      </w:r>
      <w:r>
        <w:rPr>
          <w:rFonts w:hint="eastAsia" w:ascii="方正仿宋简体" w:hAnsi="方正仿宋简体" w:eastAsia="方正仿宋简体" w:cs="方正仿宋简体"/>
          <w:sz w:val="32"/>
          <w:szCs w:val="32"/>
          <w:lang w:val="en-US" w:eastAsia="zh-CN"/>
        </w:rPr>
        <w:t>X+5</w:t>
      </w:r>
      <w:r>
        <w:rPr>
          <w:rFonts w:hint="eastAsia" w:ascii="方正仿宋简体" w:hAnsi="方正仿宋简体" w:eastAsia="方正仿宋简体" w:cs="方正仿宋简体"/>
          <w:sz w:val="32"/>
          <w:szCs w:val="32"/>
          <w:lang w:eastAsia="zh-CN"/>
        </w:rPr>
        <w:t>”执行；不具备第</w:t>
      </w:r>
      <w:r>
        <w:rPr>
          <w:rFonts w:hint="eastAsia" w:ascii="方正仿宋简体" w:hAnsi="方正仿宋简体" w:eastAsia="方正仿宋简体" w:cs="方正仿宋简体"/>
          <w:sz w:val="32"/>
          <w:szCs w:val="32"/>
          <w:lang w:val="en-US" w:eastAsia="zh-CN"/>
        </w:rPr>
        <w:t>6项条件的毕业生，人才引进津贴无“+5”额度。未获得第6项所列荣誉，但排名为本校本专业智育成绩前30%的毕业生，可额外获得2万元人才引进津贴。（上述政策不适用于</w:t>
      </w:r>
      <w:bookmarkStart w:id="0" w:name="_GoBack"/>
      <w:bookmarkEnd w:id="0"/>
      <w:r>
        <w:rPr>
          <w:rFonts w:hint="eastAsia" w:ascii="方正仿宋简体" w:hAnsi="方正仿宋简体" w:eastAsia="方正仿宋简体" w:cs="方正仿宋简体"/>
          <w:sz w:val="32"/>
          <w:szCs w:val="32"/>
          <w:lang w:val="en-US" w:eastAsia="zh-CN"/>
        </w:rPr>
        <w:t>成都工作岗位）</w:t>
      </w:r>
    </w:p>
    <w:p>
      <w:pPr>
        <w:widowControl/>
        <w:shd w:val="clear" w:color="auto" w:fill="FFFFFF"/>
        <w:spacing w:line="560" w:lineRule="exact"/>
        <w:ind w:firstLine="640" w:firstLineChars="200"/>
        <w:rPr>
          <w:rFonts w:ascii="方正黑体简体" w:hAnsi="Arial" w:eastAsia="方正黑体简体" w:cs="Arial"/>
          <w:kern w:val="0"/>
          <w:sz w:val="32"/>
          <w:szCs w:val="32"/>
        </w:rPr>
      </w:pPr>
      <w:r>
        <w:rPr>
          <w:rFonts w:hint="eastAsia" w:ascii="方正黑体简体" w:hAnsi="Arial" w:eastAsia="方正黑体简体" w:cs="Arial"/>
          <w:kern w:val="0"/>
          <w:sz w:val="32"/>
          <w:szCs w:val="32"/>
        </w:rPr>
        <w:t>四</w:t>
      </w:r>
      <w:r>
        <w:rPr>
          <w:rFonts w:ascii="方正黑体简体" w:hAnsi="Arial" w:eastAsia="方正黑体简体" w:cs="Arial"/>
          <w:kern w:val="0"/>
          <w:sz w:val="32"/>
          <w:szCs w:val="32"/>
        </w:rPr>
        <w:t>、</w:t>
      </w:r>
      <w:r>
        <w:rPr>
          <w:rFonts w:hint="eastAsia" w:ascii="方正黑体简体" w:hAnsi="Arial" w:eastAsia="方正黑体简体" w:cs="Arial"/>
          <w:kern w:val="0"/>
          <w:sz w:val="32"/>
          <w:szCs w:val="32"/>
        </w:rPr>
        <w:t>薪酬福利</w:t>
      </w:r>
    </w:p>
    <w:p>
      <w:pPr>
        <w:autoSpaceDE w:val="0"/>
        <w:autoSpaceDN w:val="0"/>
        <w:adjustRightInd w:val="0"/>
        <w:spacing w:line="560" w:lineRule="exact"/>
        <w:ind w:firstLine="640" w:firstLineChars="200"/>
        <w:rPr>
          <w:rFonts w:eastAsia="方正仿宋简体"/>
          <w:sz w:val="32"/>
          <w:szCs w:val="32"/>
        </w:rPr>
      </w:pPr>
      <w:r>
        <w:rPr>
          <w:rFonts w:hint="eastAsia" w:eastAsia="方正仿宋简体"/>
          <w:sz w:val="32"/>
          <w:szCs w:val="32"/>
        </w:rPr>
        <w:t>（一）</w:t>
      </w:r>
      <w:r>
        <w:rPr>
          <w:rFonts w:hint="eastAsia" w:eastAsia="方正仿宋简体"/>
          <w:sz w:val="32"/>
          <w:szCs w:val="32"/>
          <w:lang w:eastAsia="zh-CN"/>
        </w:rPr>
        <w:t>提供优厚薪资待遇</w:t>
      </w:r>
      <w:r>
        <w:rPr>
          <w:rFonts w:hint="eastAsia" w:eastAsia="方正仿宋简体"/>
          <w:sz w:val="32"/>
          <w:szCs w:val="32"/>
        </w:rPr>
        <w:t>。</w:t>
      </w:r>
    </w:p>
    <w:p>
      <w:pPr>
        <w:autoSpaceDE w:val="0"/>
        <w:autoSpaceDN w:val="0"/>
        <w:adjustRightInd w:val="0"/>
        <w:spacing w:line="560" w:lineRule="exact"/>
        <w:ind w:firstLine="640" w:firstLineChars="200"/>
        <w:rPr>
          <w:rFonts w:eastAsia="方正仿宋简体"/>
          <w:sz w:val="32"/>
          <w:szCs w:val="32"/>
        </w:rPr>
      </w:pPr>
      <w:r>
        <w:rPr>
          <w:rFonts w:hint="eastAsia" w:eastAsia="方正仿宋简体"/>
          <w:sz w:val="32"/>
          <w:szCs w:val="32"/>
        </w:rPr>
        <w:t>（二）按照国家和中国石油规定建立六险两金，并根据工作岗位享受相关津补贴。</w:t>
      </w:r>
    </w:p>
    <w:p>
      <w:pPr>
        <w:autoSpaceDE w:val="0"/>
        <w:autoSpaceDN w:val="0"/>
        <w:adjustRightInd w:val="0"/>
        <w:spacing w:line="560" w:lineRule="exact"/>
        <w:ind w:firstLine="640" w:firstLineChars="200"/>
        <w:rPr>
          <w:rFonts w:eastAsia="方正仿宋简体"/>
          <w:sz w:val="32"/>
          <w:szCs w:val="32"/>
        </w:rPr>
      </w:pPr>
      <w:r>
        <w:rPr>
          <w:rFonts w:hint="eastAsia" w:eastAsia="方正仿宋简体"/>
          <w:sz w:val="32"/>
          <w:szCs w:val="32"/>
        </w:rPr>
        <w:t>（三）享受国家法定公共节假日和带薪年休假。</w:t>
      </w:r>
    </w:p>
    <w:p>
      <w:pPr>
        <w:autoSpaceDE w:val="0"/>
        <w:autoSpaceDN w:val="0"/>
        <w:adjustRightInd w:val="0"/>
        <w:spacing w:line="560" w:lineRule="exact"/>
        <w:ind w:firstLine="640" w:firstLineChars="200"/>
        <w:rPr>
          <w:rFonts w:eastAsia="方正仿宋简体"/>
          <w:sz w:val="32"/>
          <w:szCs w:val="32"/>
        </w:rPr>
      </w:pPr>
      <w:r>
        <w:rPr>
          <w:rFonts w:hint="eastAsia" w:eastAsia="方正仿宋简体"/>
          <w:sz w:val="32"/>
          <w:szCs w:val="32"/>
        </w:rPr>
        <w:t>（四）享受定期健康体检，提供公租房或员工公寓及文体活动场地。</w:t>
      </w:r>
    </w:p>
    <w:p>
      <w:pPr>
        <w:widowControl/>
        <w:shd w:val="clear" w:color="auto" w:fill="FFFFFF"/>
        <w:spacing w:line="560" w:lineRule="exact"/>
        <w:ind w:firstLine="640" w:firstLineChars="200"/>
        <w:rPr>
          <w:rFonts w:hint="eastAsia" w:ascii="方正小标宋简体" w:hAnsi="Arial" w:eastAsia="方正黑体简体" w:cs="Arial"/>
          <w:kern w:val="0"/>
          <w:sz w:val="32"/>
          <w:szCs w:val="32"/>
          <w:lang w:eastAsia="zh-CN"/>
        </w:rPr>
      </w:pPr>
      <w:r>
        <w:rPr>
          <w:rFonts w:hint="eastAsia" w:ascii="方正黑体简体" w:hAnsi="Arial" w:eastAsia="方正黑体简体" w:cs="Arial"/>
          <w:kern w:val="0"/>
          <w:sz w:val="32"/>
          <w:szCs w:val="32"/>
        </w:rPr>
        <w:t>五</w:t>
      </w:r>
      <w:r>
        <w:rPr>
          <w:rFonts w:ascii="方正黑体简体" w:hAnsi="Arial" w:eastAsia="方正黑体简体" w:cs="Arial"/>
          <w:kern w:val="0"/>
          <w:sz w:val="32"/>
          <w:szCs w:val="32"/>
        </w:rPr>
        <w:t>、</w:t>
      </w:r>
      <w:r>
        <w:rPr>
          <w:rFonts w:hint="eastAsia" w:ascii="方正黑体简体" w:hAnsi="Arial" w:eastAsia="方正黑体简体" w:cs="Arial"/>
          <w:kern w:val="0"/>
          <w:sz w:val="32"/>
          <w:szCs w:val="32"/>
          <w:lang w:eastAsia="zh-CN"/>
        </w:rPr>
        <w:t>应聘及咨询</w:t>
      </w:r>
    </w:p>
    <w:p>
      <w:pPr>
        <w:autoSpaceDE w:val="0"/>
        <w:autoSpaceDN w:val="0"/>
        <w:adjustRightInd w:val="0"/>
        <w:spacing w:line="560" w:lineRule="exact"/>
        <w:ind w:firstLine="640" w:firstLineChars="200"/>
        <w:rPr>
          <w:rFonts w:ascii="方正仿宋简体" w:eastAsia="方正仿宋简体"/>
          <w:sz w:val="32"/>
          <w:szCs w:val="32"/>
        </w:rPr>
      </w:pPr>
      <w:r>
        <w:rPr>
          <w:rFonts w:hint="eastAsia" w:ascii="方正仿宋简体" w:hAnsi="方正仿宋简体" w:eastAsia="方正仿宋简体" w:cs="方正仿宋简体"/>
          <w:sz w:val="32"/>
          <w:szCs w:val="32"/>
        </w:rPr>
        <w:t>（一）</w:t>
      </w:r>
      <w:r>
        <w:rPr>
          <w:rFonts w:hint="eastAsia" w:ascii="方正仿宋简体" w:eastAsia="方正仿宋简体"/>
          <w:sz w:val="32"/>
          <w:szCs w:val="32"/>
        </w:rPr>
        <w:t>在中国石油高校毕业生招聘平台登录注册（http://zhaopin.cnpc.com.cn），选择大庆油田有限责任公司相应应聘职位，完成简历投递。简历</w:t>
      </w:r>
      <w:r>
        <w:rPr>
          <w:rFonts w:ascii="方正仿宋简体" w:eastAsia="方正仿宋简体"/>
          <w:sz w:val="32"/>
          <w:szCs w:val="32"/>
        </w:rPr>
        <w:t>投递时间</w:t>
      </w:r>
      <w:r>
        <w:rPr>
          <w:rFonts w:hint="eastAsia" w:ascii="方正仿宋简体" w:eastAsia="方正仿宋简体"/>
          <w:sz w:val="32"/>
          <w:szCs w:val="32"/>
          <w:lang w:eastAsia="zh-CN"/>
        </w:rPr>
        <w:t>截至2022</w:t>
      </w:r>
      <w:r>
        <w:rPr>
          <w:rFonts w:hint="eastAsia" w:ascii="方正仿宋简体" w:eastAsia="方正仿宋简体"/>
          <w:sz w:val="32"/>
          <w:szCs w:val="32"/>
        </w:rPr>
        <w:t>年</w:t>
      </w:r>
      <w:r>
        <w:rPr>
          <w:rFonts w:hint="eastAsia" w:ascii="方正仿宋简体" w:eastAsia="方正仿宋简体"/>
          <w:sz w:val="32"/>
          <w:szCs w:val="32"/>
          <w:lang w:val="en-US" w:eastAsia="zh-CN"/>
        </w:rPr>
        <w:t>10月15</w:t>
      </w:r>
      <w:r>
        <w:rPr>
          <w:rFonts w:hint="eastAsia" w:ascii="方正仿宋简体" w:eastAsia="方正仿宋简体"/>
          <w:sz w:val="32"/>
          <w:szCs w:val="32"/>
        </w:rPr>
        <w:t>日</w:t>
      </w:r>
      <w:r>
        <w:rPr>
          <w:rFonts w:ascii="方正仿宋简体" w:eastAsia="方正仿宋简体"/>
          <w:sz w:val="32"/>
          <w:szCs w:val="32"/>
        </w:rPr>
        <w:t>。</w:t>
      </w:r>
    </w:p>
    <w:p>
      <w:pPr>
        <w:autoSpaceDE w:val="0"/>
        <w:autoSpaceDN w:val="0"/>
        <w:adjustRightInd w:val="0"/>
        <w:spacing w:line="560" w:lineRule="exact"/>
        <w:ind w:firstLine="640" w:firstLineChars="200"/>
        <w:rPr>
          <w:rFonts w:hint="eastAsia" w:eastAsia="方正仿宋简体"/>
          <w:lang w:eastAsia="zh-CN"/>
        </w:rPr>
      </w:pPr>
      <w:r>
        <w:rPr>
          <w:rFonts w:hint="eastAsia" w:ascii="方正仿宋简体" w:eastAsia="方正仿宋简体"/>
          <w:sz w:val="32"/>
          <w:szCs w:val="32"/>
          <w:lang w:eastAsia="zh-CN"/>
        </w:rPr>
        <w:t>（二）</w:t>
      </w:r>
      <w:r>
        <w:rPr>
          <w:rFonts w:hint="eastAsia" w:ascii="方正仿宋简体" w:eastAsia="方正仿宋简体"/>
          <w:sz w:val="32"/>
          <w:szCs w:val="32"/>
        </w:rPr>
        <w:t>大庆油田有限责任公司</w:t>
      </w:r>
      <w:r>
        <w:rPr>
          <w:rFonts w:hint="eastAsia" w:ascii="方正仿宋简体" w:eastAsia="方正仿宋简体"/>
          <w:sz w:val="32"/>
          <w:szCs w:val="32"/>
          <w:lang w:eastAsia="zh-CN"/>
        </w:rPr>
        <w:t>招聘咨询</w:t>
      </w:r>
      <w:r>
        <w:rPr>
          <w:rFonts w:hint="eastAsia" w:ascii="方正仿宋简体" w:eastAsia="方正仿宋简体"/>
          <w:sz w:val="32"/>
          <w:szCs w:val="32"/>
        </w:rPr>
        <w:t>电话：0459-5990602</w:t>
      </w:r>
      <w:r>
        <w:rPr>
          <w:rFonts w:hint="eastAsia" w:ascii="方正仿宋简体" w:eastAsia="方正仿宋简体"/>
          <w:sz w:val="32"/>
          <w:szCs w:val="32"/>
          <w:lang w:eastAsia="zh-CN"/>
        </w:rPr>
        <w:t>，也可微信添加13029829711进行咨询。</w:t>
      </w: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楷体简体">
    <w:panose1 w:val="02010601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50078780"/>
      <w:docPartObj>
        <w:docPartGallery w:val="autotext"/>
      </w:docPartObj>
    </w:sdtPr>
    <w:sdtContent>
      <w:p>
        <w:pPr>
          <w:pStyle w:val="3"/>
          <w:jc w:val="center"/>
        </w:pPr>
        <w:r>
          <w:fldChar w:fldCharType="begin"/>
        </w:r>
        <w:r>
          <w:instrText xml:space="preserve">PAGE   \* MERGEFORMAT</w:instrText>
        </w:r>
        <w:r>
          <w:fldChar w:fldCharType="separate"/>
        </w:r>
        <w:r>
          <w:rPr>
            <w:lang w:val="zh-CN"/>
          </w:rPr>
          <w:t>9</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13C9"/>
    <w:rsid w:val="000004DD"/>
    <w:rsid w:val="00002910"/>
    <w:rsid w:val="00012CD2"/>
    <w:rsid w:val="000430F9"/>
    <w:rsid w:val="000522A4"/>
    <w:rsid w:val="000531F7"/>
    <w:rsid w:val="00080C21"/>
    <w:rsid w:val="000844F1"/>
    <w:rsid w:val="00090D40"/>
    <w:rsid w:val="000A3FA0"/>
    <w:rsid w:val="000B1C73"/>
    <w:rsid w:val="000D65EB"/>
    <w:rsid w:val="000D7137"/>
    <w:rsid w:val="000E081B"/>
    <w:rsid w:val="000E79A8"/>
    <w:rsid w:val="00107181"/>
    <w:rsid w:val="00126CD2"/>
    <w:rsid w:val="00140EC3"/>
    <w:rsid w:val="00146FB7"/>
    <w:rsid w:val="00157470"/>
    <w:rsid w:val="00164995"/>
    <w:rsid w:val="00170C77"/>
    <w:rsid w:val="0018392E"/>
    <w:rsid w:val="001B39A4"/>
    <w:rsid w:val="001D2FCC"/>
    <w:rsid w:val="001E1E8F"/>
    <w:rsid w:val="001E5068"/>
    <w:rsid w:val="001F1054"/>
    <w:rsid w:val="001F744B"/>
    <w:rsid w:val="00201215"/>
    <w:rsid w:val="00231660"/>
    <w:rsid w:val="00245F6E"/>
    <w:rsid w:val="002540DC"/>
    <w:rsid w:val="00271DD6"/>
    <w:rsid w:val="002730D6"/>
    <w:rsid w:val="002A3047"/>
    <w:rsid w:val="002A3CCB"/>
    <w:rsid w:val="002B1264"/>
    <w:rsid w:val="002C0790"/>
    <w:rsid w:val="002C105E"/>
    <w:rsid w:val="002C3FA5"/>
    <w:rsid w:val="002D3617"/>
    <w:rsid w:val="002E5937"/>
    <w:rsid w:val="00303493"/>
    <w:rsid w:val="003044D0"/>
    <w:rsid w:val="00334FE3"/>
    <w:rsid w:val="0035170D"/>
    <w:rsid w:val="00363D3F"/>
    <w:rsid w:val="00371BE0"/>
    <w:rsid w:val="00386381"/>
    <w:rsid w:val="003874E6"/>
    <w:rsid w:val="0039506E"/>
    <w:rsid w:val="003A4B72"/>
    <w:rsid w:val="003C16F6"/>
    <w:rsid w:val="003D1D2C"/>
    <w:rsid w:val="003F228D"/>
    <w:rsid w:val="003F5968"/>
    <w:rsid w:val="004013B8"/>
    <w:rsid w:val="0040540E"/>
    <w:rsid w:val="00413A04"/>
    <w:rsid w:val="00416BDD"/>
    <w:rsid w:val="00426481"/>
    <w:rsid w:val="00442BC4"/>
    <w:rsid w:val="0044613A"/>
    <w:rsid w:val="00447AA1"/>
    <w:rsid w:val="0047357A"/>
    <w:rsid w:val="004872AA"/>
    <w:rsid w:val="004A5C7B"/>
    <w:rsid w:val="004A72F6"/>
    <w:rsid w:val="004C040E"/>
    <w:rsid w:val="004C1EA1"/>
    <w:rsid w:val="004E0561"/>
    <w:rsid w:val="004E642D"/>
    <w:rsid w:val="004F1A0F"/>
    <w:rsid w:val="005018F7"/>
    <w:rsid w:val="00511E4B"/>
    <w:rsid w:val="005138C4"/>
    <w:rsid w:val="0054086B"/>
    <w:rsid w:val="0054298A"/>
    <w:rsid w:val="00546120"/>
    <w:rsid w:val="005913C9"/>
    <w:rsid w:val="005A10B5"/>
    <w:rsid w:val="005A15EE"/>
    <w:rsid w:val="005B715E"/>
    <w:rsid w:val="005E0479"/>
    <w:rsid w:val="006028EC"/>
    <w:rsid w:val="006103FF"/>
    <w:rsid w:val="00614C65"/>
    <w:rsid w:val="00643477"/>
    <w:rsid w:val="006903C9"/>
    <w:rsid w:val="006968A6"/>
    <w:rsid w:val="006C559D"/>
    <w:rsid w:val="006C685E"/>
    <w:rsid w:val="006E1B1C"/>
    <w:rsid w:val="006F1F27"/>
    <w:rsid w:val="006F6B4E"/>
    <w:rsid w:val="00710FCB"/>
    <w:rsid w:val="00727FEE"/>
    <w:rsid w:val="00740E44"/>
    <w:rsid w:val="00741A71"/>
    <w:rsid w:val="0074331B"/>
    <w:rsid w:val="00743D01"/>
    <w:rsid w:val="00763E38"/>
    <w:rsid w:val="00774028"/>
    <w:rsid w:val="007773E7"/>
    <w:rsid w:val="00794936"/>
    <w:rsid w:val="007955D7"/>
    <w:rsid w:val="007C0DD4"/>
    <w:rsid w:val="007C7B70"/>
    <w:rsid w:val="007E70E4"/>
    <w:rsid w:val="00807535"/>
    <w:rsid w:val="00840541"/>
    <w:rsid w:val="008470FC"/>
    <w:rsid w:val="00873771"/>
    <w:rsid w:val="008A5FF6"/>
    <w:rsid w:val="008A7932"/>
    <w:rsid w:val="008E6137"/>
    <w:rsid w:val="008F13BE"/>
    <w:rsid w:val="008F1505"/>
    <w:rsid w:val="00901CFF"/>
    <w:rsid w:val="00902A42"/>
    <w:rsid w:val="00902CD1"/>
    <w:rsid w:val="00911CF7"/>
    <w:rsid w:val="009152BA"/>
    <w:rsid w:val="00916626"/>
    <w:rsid w:val="00921096"/>
    <w:rsid w:val="00922143"/>
    <w:rsid w:val="00923D39"/>
    <w:rsid w:val="009413A6"/>
    <w:rsid w:val="009577B8"/>
    <w:rsid w:val="009679FF"/>
    <w:rsid w:val="00973478"/>
    <w:rsid w:val="0097425F"/>
    <w:rsid w:val="0099041A"/>
    <w:rsid w:val="009A2FF1"/>
    <w:rsid w:val="009C2793"/>
    <w:rsid w:val="009C6D3D"/>
    <w:rsid w:val="009D4158"/>
    <w:rsid w:val="009D4853"/>
    <w:rsid w:val="009D6B77"/>
    <w:rsid w:val="00A22FA7"/>
    <w:rsid w:val="00A3479E"/>
    <w:rsid w:val="00A36507"/>
    <w:rsid w:val="00A754D0"/>
    <w:rsid w:val="00A82C26"/>
    <w:rsid w:val="00A85799"/>
    <w:rsid w:val="00A908E8"/>
    <w:rsid w:val="00A969E3"/>
    <w:rsid w:val="00AE2A6F"/>
    <w:rsid w:val="00AF26D2"/>
    <w:rsid w:val="00AF5414"/>
    <w:rsid w:val="00B02358"/>
    <w:rsid w:val="00B33052"/>
    <w:rsid w:val="00B36587"/>
    <w:rsid w:val="00B64F52"/>
    <w:rsid w:val="00B654C0"/>
    <w:rsid w:val="00B84647"/>
    <w:rsid w:val="00BA7F47"/>
    <w:rsid w:val="00BB2E0F"/>
    <w:rsid w:val="00BB5ED1"/>
    <w:rsid w:val="00BC0ECF"/>
    <w:rsid w:val="00BC150A"/>
    <w:rsid w:val="00BC4BA5"/>
    <w:rsid w:val="00BD08D1"/>
    <w:rsid w:val="00BD7DF3"/>
    <w:rsid w:val="00C11CFD"/>
    <w:rsid w:val="00C12422"/>
    <w:rsid w:val="00C17863"/>
    <w:rsid w:val="00C31FF3"/>
    <w:rsid w:val="00C47EA0"/>
    <w:rsid w:val="00C63003"/>
    <w:rsid w:val="00C8785A"/>
    <w:rsid w:val="00C930ED"/>
    <w:rsid w:val="00CA1126"/>
    <w:rsid w:val="00CA2B93"/>
    <w:rsid w:val="00CD0936"/>
    <w:rsid w:val="00CD1C27"/>
    <w:rsid w:val="00CE6042"/>
    <w:rsid w:val="00CE7122"/>
    <w:rsid w:val="00D43091"/>
    <w:rsid w:val="00D530D4"/>
    <w:rsid w:val="00D73BA8"/>
    <w:rsid w:val="00D85713"/>
    <w:rsid w:val="00D87793"/>
    <w:rsid w:val="00D87AA5"/>
    <w:rsid w:val="00DA18C8"/>
    <w:rsid w:val="00DB3042"/>
    <w:rsid w:val="00DC2546"/>
    <w:rsid w:val="00DC529B"/>
    <w:rsid w:val="00DD3979"/>
    <w:rsid w:val="00DE1289"/>
    <w:rsid w:val="00DE5E34"/>
    <w:rsid w:val="00DE5F6C"/>
    <w:rsid w:val="00E269F4"/>
    <w:rsid w:val="00E3353F"/>
    <w:rsid w:val="00E815BF"/>
    <w:rsid w:val="00E91180"/>
    <w:rsid w:val="00E923BD"/>
    <w:rsid w:val="00EC6486"/>
    <w:rsid w:val="00ED2708"/>
    <w:rsid w:val="00ED55CF"/>
    <w:rsid w:val="00EE4D7A"/>
    <w:rsid w:val="00F06B61"/>
    <w:rsid w:val="00F17BA0"/>
    <w:rsid w:val="00F26944"/>
    <w:rsid w:val="00F359CE"/>
    <w:rsid w:val="00F35C4D"/>
    <w:rsid w:val="00F4536D"/>
    <w:rsid w:val="00F575E3"/>
    <w:rsid w:val="00F73914"/>
    <w:rsid w:val="00FA0809"/>
    <w:rsid w:val="00FA28A4"/>
    <w:rsid w:val="00FC73D4"/>
    <w:rsid w:val="00FE219B"/>
    <w:rsid w:val="04CD2C96"/>
    <w:rsid w:val="04CE3E61"/>
    <w:rsid w:val="07527A74"/>
    <w:rsid w:val="0D3F52F2"/>
    <w:rsid w:val="0FB62126"/>
    <w:rsid w:val="13A9616D"/>
    <w:rsid w:val="15181CDE"/>
    <w:rsid w:val="1C825C80"/>
    <w:rsid w:val="1D79765B"/>
    <w:rsid w:val="1F5144AD"/>
    <w:rsid w:val="2E2665EE"/>
    <w:rsid w:val="2F6B2077"/>
    <w:rsid w:val="306F13B4"/>
    <w:rsid w:val="52CE0E84"/>
    <w:rsid w:val="5C5761C9"/>
    <w:rsid w:val="5D5E19D0"/>
    <w:rsid w:val="5F5C66CF"/>
    <w:rsid w:val="64BE6D8D"/>
    <w:rsid w:val="670F35AA"/>
    <w:rsid w:val="6C781B49"/>
    <w:rsid w:val="7F6A11C5"/>
    <w:rsid w:val="7FD530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unhideWhenUsed/>
    <w:qFormat/>
    <w:uiPriority w:val="99"/>
    <w:rPr>
      <w:color w:val="0563C1" w:themeColor="hyperlink"/>
      <w:u w:val="single"/>
      <w14:textFill>
        <w14:solidFill>
          <w14:schemeClr w14:val="hlink"/>
        </w14:solidFill>
      </w14:textFill>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批注框文本 字符"/>
    <w:basedOn w:val="5"/>
    <w:link w:val="2"/>
    <w:semiHidden/>
    <w:qFormat/>
    <w:uiPriority w:val="99"/>
    <w:rPr>
      <w:rFonts w:ascii="Times New Roman" w:hAnsi="Times New Roman" w:eastAsia="宋体" w:cs="Times New Roman"/>
      <w:sz w:val="18"/>
      <w:szCs w:val="18"/>
    </w:rPr>
  </w:style>
  <w:style w:type="character" w:customStyle="1" w:styleId="10">
    <w:name w:val="页眉 字符"/>
    <w:basedOn w:val="5"/>
    <w:link w:val="4"/>
    <w:qFormat/>
    <w:uiPriority w:val="99"/>
    <w:rPr>
      <w:rFonts w:ascii="Times New Roman" w:hAnsi="Times New Roman" w:eastAsia="宋体" w:cs="Times New Roman"/>
      <w:sz w:val="18"/>
      <w:szCs w:val="18"/>
    </w:rPr>
  </w:style>
  <w:style w:type="character" w:customStyle="1" w:styleId="11">
    <w:name w:val="页脚 字符"/>
    <w:basedOn w:val="5"/>
    <w:link w:val="3"/>
    <w:qFormat/>
    <w:uiPriority w:val="99"/>
    <w:rPr>
      <w:rFonts w:ascii="Times New Roman" w:hAnsi="Times New Roman" w:eastAsia="宋体" w:cs="Times New Roman"/>
      <w:sz w:val="18"/>
      <w:szCs w:val="18"/>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solidFill>
            <a:srgbClr val="000000"/>
          </a:solidFill>
          <a:miter lim="800000"/>
        </a:ln>
      </a:spPr>
      <a:bodyPr rot="0" vert="horz" wrap="square" lIns="91440" tIns="45720" rIns="91440" bIns="45720" anchor="t" anchorCtr="0">
        <a:spAutoFit/>
      </a:bodyPr>
      <a:lst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9</Pages>
  <Words>707</Words>
  <Characters>4035</Characters>
  <Lines>33</Lines>
  <Paragraphs>9</Paragraphs>
  <TotalTime>16</TotalTime>
  <ScaleCrop>false</ScaleCrop>
  <LinksUpToDate>false</LinksUpToDate>
  <CharactersWithSpaces>4733</CharactersWithSpaces>
  <Application>WPS Office_10.8.2.6990_F1E327BC-269C-435d-A152-05C5408002CA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2020-09-03T08:53:00Z</dcterms:created>
  <dc:creator>LD</dc:creator>
  <cp:lastModifiedBy>吴景刚</cp:lastModifiedBy>
  <cp:lastPrinted>2017-09-12T02:48:00Z</cp:lastPrinted>
  <dcterms:modified xsi:type="dcterms:W3CDTF">2022-09-21T07:43:06Z</dcterms:modified>
  <cp:revision>103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2052-10.8.2.6990</vt:lpwstr>
  </property>
</Properties>
</file>